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24E" w:rsidRDefault="007A1E27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="00A73079" w:rsidRPr="00D928AA">
        <w:rPr>
          <w:rFonts w:ascii="Tahoma" w:hAnsi="Tahoma" w:cs="Tahoma"/>
          <w:sz w:val="20"/>
          <w:szCs w:val="20"/>
        </w:rPr>
        <w:t xml:space="preserve"> </w:t>
      </w:r>
      <w:r w:rsidR="00CF4B45">
        <w:rPr>
          <w:rFonts w:ascii="Tahoma" w:hAnsi="Tahoma" w:cs="Tahoma"/>
          <w:sz w:val="20"/>
          <w:szCs w:val="20"/>
        </w:rPr>
        <w:t>Prelogu, 06</w:t>
      </w:r>
      <w:r w:rsidR="00A73079" w:rsidRPr="00D928A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0</w:t>
      </w:r>
      <w:r w:rsidR="00CF4B45">
        <w:rPr>
          <w:rFonts w:ascii="Tahoma" w:hAnsi="Tahoma" w:cs="Tahoma"/>
          <w:sz w:val="20"/>
          <w:szCs w:val="20"/>
        </w:rPr>
        <w:t>9</w:t>
      </w:r>
      <w:r w:rsidR="00D53F1B" w:rsidRPr="00D928AA">
        <w:rPr>
          <w:rFonts w:ascii="Tahoma" w:hAnsi="Tahoma" w:cs="Tahoma"/>
          <w:sz w:val="20"/>
          <w:szCs w:val="20"/>
        </w:rPr>
        <w:t>.201</w:t>
      </w:r>
      <w:r>
        <w:rPr>
          <w:rFonts w:ascii="Tahoma" w:hAnsi="Tahoma" w:cs="Tahoma"/>
          <w:sz w:val="20"/>
          <w:szCs w:val="20"/>
        </w:rPr>
        <w:t>6</w:t>
      </w:r>
      <w:r w:rsidR="00D53F1B" w:rsidRPr="00D928AA">
        <w:rPr>
          <w:rFonts w:ascii="Tahoma" w:hAnsi="Tahoma" w:cs="Tahoma"/>
          <w:sz w:val="20"/>
          <w:szCs w:val="20"/>
        </w:rPr>
        <w:t>.</w:t>
      </w:r>
    </w:p>
    <w:p w:rsidR="00BD313F" w:rsidRDefault="00BD313F">
      <w:pPr>
        <w:pStyle w:val="Standard"/>
        <w:rPr>
          <w:rFonts w:ascii="Tahoma" w:hAnsi="Tahoma" w:cs="Tahoma"/>
          <w:sz w:val="20"/>
          <w:szCs w:val="20"/>
        </w:rPr>
      </w:pPr>
    </w:p>
    <w:p w:rsidR="00BD313F" w:rsidRPr="00CD1D3D" w:rsidRDefault="00BD313F" w:rsidP="00BB6979">
      <w:pPr>
        <w:pStyle w:val="Standard"/>
        <w:ind w:left="4963" w:firstLine="709"/>
        <w:rPr>
          <w:rFonts w:ascii="Tahoma" w:hAnsi="Tahoma" w:cs="Tahoma"/>
          <w:b/>
          <w:sz w:val="20"/>
          <w:szCs w:val="20"/>
        </w:rPr>
      </w:pPr>
      <w:r w:rsidRPr="00CD1D3D">
        <w:rPr>
          <w:rFonts w:ascii="Tahoma" w:hAnsi="Tahoma" w:cs="Tahoma"/>
          <w:b/>
          <w:sz w:val="20"/>
          <w:szCs w:val="20"/>
        </w:rPr>
        <w:t>TRGOVAČKI SUD U VARAŽDINU</w:t>
      </w:r>
    </w:p>
    <w:p w:rsidR="00D4252B" w:rsidRDefault="00D4252B" w:rsidP="00D4252B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Posl</w:t>
      </w:r>
      <w:proofErr w:type="spellEnd"/>
      <w:r>
        <w:rPr>
          <w:rFonts w:ascii="Tahoma" w:hAnsi="Tahoma" w:cs="Tahoma"/>
          <w:sz w:val="20"/>
          <w:szCs w:val="20"/>
        </w:rPr>
        <w:t>. br. 9 St-131/14</w:t>
      </w:r>
    </w:p>
    <w:p w:rsidR="00BB6979" w:rsidRPr="00BB6979" w:rsidRDefault="00BB6979" w:rsidP="00BB6979">
      <w:pPr>
        <w:pStyle w:val="Standard"/>
        <w:ind w:left="5670"/>
        <w:rPr>
          <w:rFonts w:ascii="Tahoma" w:hAnsi="Tahoma" w:cs="Tahoma"/>
          <w:b/>
          <w:sz w:val="20"/>
          <w:szCs w:val="20"/>
        </w:rPr>
      </w:pPr>
      <w:r w:rsidRPr="00BB6979">
        <w:rPr>
          <w:rFonts w:ascii="Tahoma" w:hAnsi="Tahoma" w:cs="Tahoma"/>
          <w:b/>
          <w:sz w:val="20"/>
          <w:szCs w:val="20"/>
        </w:rPr>
        <w:t>ŽUPANIJSKO DRŽAVNO ODVJETNIŠTVO U VARAŽDINU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textAlignment w:val="auto"/>
        <w:rPr>
          <w:rFonts w:ascii="Tahoma" w:eastAsia="Calibri" w:hAnsi="Tahoma" w:cs="Tahoma"/>
          <w:b/>
          <w:kern w:val="0"/>
          <w:lang w:eastAsia="en-US" w:bidi="ar-SA"/>
        </w:rPr>
      </w:pP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jc w:val="center"/>
        <w:textAlignment w:val="auto"/>
        <w:rPr>
          <w:rFonts w:ascii="Tahoma" w:eastAsia="Calibri" w:hAnsi="Tahoma" w:cs="Tahoma"/>
          <w:b/>
          <w:kern w:val="0"/>
          <w:lang w:eastAsia="en-US" w:bidi="ar-SA"/>
        </w:rPr>
      </w:pPr>
      <w:r w:rsidRPr="007A1E27">
        <w:rPr>
          <w:rFonts w:ascii="Tahoma" w:eastAsia="Calibri" w:hAnsi="Tahoma" w:cs="Tahoma"/>
          <w:b/>
          <w:kern w:val="0"/>
          <w:lang w:eastAsia="en-US" w:bidi="ar-SA"/>
        </w:rPr>
        <w:t>IZVJEŠĆE STEČAJNOGA UPRAVITELJA O TIJEKU STEČAJNOGA POSTUPKA I STANJU STEČAJNE MASE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jc w:val="center"/>
        <w:textAlignment w:val="auto"/>
        <w:rPr>
          <w:rFonts w:ascii="Tahoma" w:eastAsia="Calibri" w:hAnsi="Tahoma" w:cs="Tahoma"/>
          <w:kern w:val="0"/>
          <w:sz w:val="20"/>
          <w:szCs w:val="20"/>
          <w:lang w:eastAsia="en-US" w:bidi="ar-SA"/>
        </w:rPr>
      </w:pP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jc w:val="both"/>
        <w:textAlignment w:val="auto"/>
        <w:rPr>
          <w:rFonts w:ascii="Tahoma" w:eastAsia="Calibri" w:hAnsi="Tahoma" w:cs="Tahoma"/>
          <w:kern w:val="0"/>
          <w:sz w:val="20"/>
          <w:szCs w:val="20"/>
          <w:lang w:eastAsia="en-US" w:bidi="ar-SA"/>
        </w:rPr>
      </w:pP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Nadle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ž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ni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trgova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č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ki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sud</w:t>
      </w: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:</w:t>
      </w:r>
      <w:r w:rsidRPr="007A1E27">
        <w:rPr>
          <w:rFonts w:ascii="Tahoma" w:eastAsia="Calibri" w:hAnsi="Tahoma" w:cs="Tahoma"/>
          <w:kern w:val="0"/>
          <w:sz w:val="20"/>
          <w:szCs w:val="20"/>
          <w:lang w:eastAsia="en-US" w:bidi="ar-SA"/>
        </w:rPr>
        <w:t xml:space="preserve"> Trgovački sud u Varaždinu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jc w:val="both"/>
        <w:textAlignment w:val="auto"/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</w:pP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Poslovni broj spisa</w:t>
      </w: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: St-</w:t>
      </w:r>
      <w:r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131</w:t>
      </w: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/201</w:t>
      </w:r>
      <w:r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4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textAlignment w:val="auto"/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</w:pP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 xml:space="preserve">Dužnik: 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ab/>
      </w: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ELEKTROINSTALATER IGREC  d.o.o. „u stečaju“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ind w:left="709" w:firstLine="709"/>
        <w:textAlignment w:val="auto"/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</w:pP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 xml:space="preserve">Prelog, Stjepana Mlinarića 17     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ind w:left="709" w:firstLine="709"/>
        <w:textAlignment w:val="auto"/>
        <w:rPr>
          <w:rFonts w:ascii="Tahoma" w:hAnsi="Tahoma" w:cs="Tahoma"/>
          <w:b/>
          <w:sz w:val="20"/>
          <w:szCs w:val="20"/>
        </w:rPr>
      </w:pP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OIB:01967074902</w:t>
      </w:r>
    </w:p>
    <w:p w:rsidR="007A1E27" w:rsidRDefault="007A1E27" w:rsidP="007A1E27">
      <w:pPr>
        <w:spacing w:after="0" w:line="288" w:lineRule="auto"/>
        <w:ind w:firstLine="709"/>
        <w:jc w:val="right"/>
        <w:rPr>
          <w:rFonts w:ascii="Tahoma" w:hAnsi="Tahoma" w:cs="Tahoma"/>
          <w:b/>
          <w:sz w:val="20"/>
          <w:szCs w:val="20"/>
        </w:rPr>
      </w:pPr>
    </w:p>
    <w:p w:rsidR="007A1E27" w:rsidRPr="007A1E27" w:rsidRDefault="007A1E27" w:rsidP="007A1E27">
      <w:pPr>
        <w:spacing w:after="0" w:line="288" w:lineRule="auto"/>
        <w:ind w:firstLine="709"/>
        <w:jc w:val="right"/>
        <w:rPr>
          <w:rFonts w:ascii="Tahoma" w:hAnsi="Tahoma" w:cs="Tahoma"/>
          <w:b/>
          <w:sz w:val="20"/>
          <w:szCs w:val="20"/>
        </w:rPr>
      </w:pPr>
    </w:p>
    <w:p w:rsidR="007A1E27" w:rsidRPr="007A1E27" w:rsidRDefault="007A1E27" w:rsidP="007A1E27">
      <w:pPr>
        <w:spacing w:after="0" w:line="288" w:lineRule="auto"/>
        <w:rPr>
          <w:rFonts w:ascii="Tahoma" w:hAnsi="Tahoma" w:cs="Tahoma"/>
          <w:b/>
          <w:sz w:val="20"/>
          <w:szCs w:val="20"/>
        </w:rPr>
      </w:pPr>
      <w:r w:rsidRPr="007A1E27">
        <w:rPr>
          <w:rFonts w:ascii="Tahoma" w:hAnsi="Tahoma" w:cs="Tahoma"/>
          <w:b/>
          <w:sz w:val="20"/>
          <w:szCs w:val="20"/>
        </w:rPr>
        <w:t>I.  TIJEK STEČAJ</w:t>
      </w:r>
      <w:r>
        <w:rPr>
          <w:rFonts w:ascii="Tahoma" w:hAnsi="Tahoma" w:cs="Tahoma"/>
          <w:b/>
          <w:sz w:val="20"/>
          <w:szCs w:val="20"/>
        </w:rPr>
        <w:t xml:space="preserve">NOGA POSTUPKA U RAZDOBLJU OD  </w:t>
      </w:r>
      <w:r w:rsidRPr="007A1E27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sz w:val="20"/>
          <w:szCs w:val="20"/>
        </w:rPr>
        <w:t>6</w:t>
      </w:r>
      <w:r w:rsidRPr="007A1E27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>07</w:t>
      </w:r>
      <w:r w:rsidRPr="007A1E27">
        <w:rPr>
          <w:rFonts w:ascii="Tahoma" w:hAnsi="Tahoma" w:cs="Tahoma"/>
          <w:b/>
          <w:sz w:val="20"/>
          <w:szCs w:val="20"/>
        </w:rPr>
        <w:t>.201</w:t>
      </w:r>
      <w:r>
        <w:rPr>
          <w:rFonts w:ascii="Tahoma" w:hAnsi="Tahoma" w:cs="Tahoma"/>
          <w:b/>
          <w:sz w:val="20"/>
          <w:szCs w:val="20"/>
        </w:rPr>
        <w:t>4</w:t>
      </w:r>
      <w:r w:rsidRPr="007A1E27">
        <w:rPr>
          <w:rFonts w:ascii="Tahoma" w:hAnsi="Tahoma" w:cs="Tahoma"/>
          <w:b/>
          <w:sz w:val="20"/>
          <w:szCs w:val="20"/>
        </w:rPr>
        <w:t xml:space="preserve">. DO </w:t>
      </w:r>
      <w:r w:rsidR="00CF4B45">
        <w:rPr>
          <w:rFonts w:ascii="Tahoma" w:hAnsi="Tahoma" w:cs="Tahoma"/>
          <w:b/>
          <w:sz w:val="20"/>
          <w:szCs w:val="20"/>
        </w:rPr>
        <w:t>06.09</w:t>
      </w:r>
      <w:r w:rsidRPr="007A1E27">
        <w:rPr>
          <w:rFonts w:ascii="Tahoma" w:hAnsi="Tahoma" w:cs="Tahoma"/>
          <w:b/>
          <w:sz w:val="20"/>
          <w:szCs w:val="20"/>
        </w:rPr>
        <w:t>.2016.</w:t>
      </w:r>
    </w:p>
    <w:p w:rsidR="0030624E" w:rsidRPr="00D928AA" w:rsidRDefault="00D4252B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D4252B" w:rsidRDefault="00D4252B" w:rsidP="00D4252B">
      <w:pPr>
        <w:pStyle w:val="Standard"/>
        <w:spacing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Stečajni postupak nad stečajnim dužnikom ELEKTROINSTALATER IGREC d.o.o. iz Preloga, Stjepana Mlinarića 17, o</w:t>
      </w:r>
      <w:r w:rsidRPr="00D928AA">
        <w:rPr>
          <w:rFonts w:ascii="Tahoma" w:hAnsi="Tahoma" w:cs="Tahoma"/>
          <w:sz w:val="20"/>
          <w:szCs w:val="20"/>
        </w:rPr>
        <w:t xml:space="preserve">tvoren je </w:t>
      </w:r>
      <w:r>
        <w:rPr>
          <w:rFonts w:ascii="Tahoma" w:hAnsi="Tahoma" w:cs="Tahoma"/>
          <w:sz w:val="20"/>
          <w:szCs w:val="20"/>
        </w:rPr>
        <w:t xml:space="preserve">rješenjem Naslovnog suda dana 16.7.2014.g. </w:t>
      </w:r>
      <w:r w:rsidRPr="00D928AA">
        <w:rPr>
          <w:rFonts w:ascii="Tahoma" w:hAnsi="Tahoma" w:cs="Tahoma"/>
          <w:sz w:val="20"/>
          <w:szCs w:val="20"/>
        </w:rPr>
        <w:t xml:space="preserve">Oglas o otvaranju stečajnog postupka sa pozivom vjerovnicima za prijavu tražbina u stečajni postupak,  te ispitnog ročišta određenih za dan </w:t>
      </w:r>
      <w:r>
        <w:rPr>
          <w:rFonts w:ascii="Tahoma" w:hAnsi="Tahoma" w:cs="Tahoma"/>
          <w:sz w:val="20"/>
          <w:szCs w:val="20"/>
        </w:rPr>
        <w:t>09</w:t>
      </w:r>
      <w:r w:rsidRPr="00D928AA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 xml:space="preserve">listopada </w:t>
      </w:r>
      <w:r w:rsidRPr="00D928AA">
        <w:rPr>
          <w:rFonts w:ascii="Tahoma" w:hAnsi="Tahoma" w:cs="Tahoma"/>
          <w:sz w:val="20"/>
          <w:szCs w:val="20"/>
        </w:rPr>
        <w:t>2014. godine objavljen je u Narod</w:t>
      </w:r>
      <w:r>
        <w:rPr>
          <w:rFonts w:ascii="Tahoma" w:hAnsi="Tahoma" w:cs="Tahoma"/>
          <w:sz w:val="20"/>
          <w:szCs w:val="20"/>
        </w:rPr>
        <w:t>nim novinama broj 95</w:t>
      </w:r>
      <w:r w:rsidRPr="00D928AA">
        <w:rPr>
          <w:rFonts w:ascii="Tahoma" w:hAnsi="Tahoma" w:cs="Tahoma"/>
          <w:sz w:val="20"/>
          <w:szCs w:val="20"/>
        </w:rPr>
        <w:t>/1</w:t>
      </w:r>
      <w:r>
        <w:rPr>
          <w:rFonts w:ascii="Tahoma" w:hAnsi="Tahoma" w:cs="Tahoma"/>
          <w:sz w:val="20"/>
          <w:szCs w:val="20"/>
        </w:rPr>
        <w:t>4</w:t>
      </w:r>
      <w:r w:rsidRPr="00D928AA">
        <w:rPr>
          <w:rFonts w:ascii="Tahoma" w:hAnsi="Tahoma" w:cs="Tahoma"/>
          <w:sz w:val="20"/>
          <w:szCs w:val="20"/>
        </w:rPr>
        <w:t xml:space="preserve"> od </w:t>
      </w:r>
      <w:r>
        <w:rPr>
          <w:rFonts w:ascii="Tahoma" w:hAnsi="Tahoma" w:cs="Tahoma"/>
          <w:sz w:val="20"/>
          <w:szCs w:val="20"/>
        </w:rPr>
        <w:t>01</w:t>
      </w:r>
      <w:r w:rsidRPr="00D928AA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 xml:space="preserve">kolovoza </w:t>
      </w:r>
      <w:r w:rsidRPr="00D928AA">
        <w:rPr>
          <w:rFonts w:ascii="Tahoma" w:hAnsi="Tahoma" w:cs="Tahoma"/>
          <w:sz w:val="20"/>
          <w:szCs w:val="20"/>
        </w:rPr>
        <w:t>201</w:t>
      </w:r>
      <w:r>
        <w:rPr>
          <w:rFonts w:ascii="Tahoma" w:hAnsi="Tahoma" w:cs="Tahoma"/>
          <w:sz w:val="20"/>
          <w:szCs w:val="20"/>
        </w:rPr>
        <w:t>4</w:t>
      </w:r>
      <w:r w:rsidRPr="00D928AA">
        <w:rPr>
          <w:rFonts w:ascii="Tahoma" w:hAnsi="Tahoma" w:cs="Tahoma"/>
          <w:sz w:val="20"/>
          <w:szCs w:val="20"/>
        </w:rPr>
        <w:t>. godine.</w:t>
      </w:r>
    </w:p>
    <w:p w:rsidR="00991780" w:rsidRPr="009102D2" w:rsidRDefault="007A1E27" w:rsidP="00D4252B">
      <w:pPr>
        <w:pStyle w:val="Standard"/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9102D2">
        <w:rPr>
          <w:rFonts w:ascii="Tahoma" w:hAnsi="Tahoma" w:cs="Tahoma"/>
          <w:b/>
          <w:sz w:val="20"/>
          <w:szCs w:val="20"/>
        </w:rPr>
        <w:t xml:space="preserve">II. STANJE STEČAJNE MASE na dan </w:t>
      </w:r>
      <w:r w:rsidR="00CF4B45">
        <w:rPr>
          <w:rFonts w:ascii="Tahoma" w:hAnsi="Tahoma" w:cs="Tahoma"/>
          <w:b/>
          <w:sz w:val="20"/>
          <w:szCs w:val="20"/>
        </w:rPr>
        <w:t>06</w:t>
      </w:r>
      <w:r w:rsidR="004B2536">
        <w:rPr>
          <w:rFonts w:ascii="Tahoma" w:hAnsi="Tahoma" w:cs="Tahoma"/>
          <w:b/>
          <w:sz w:val="20"/>
          <w:szCs w:val="20"/>
        </w:rPr>
        <w:t>.0</w:t>
      </w:r>
      <w:r w:rsidR="00CF4B45">
        <w:rPr>
          <w:rFonts w:ascii="Tahoma" w:hAnsi="Tahoma" w:cs="Tahoma"/>
          <w:b/>
          <w:sz w:val="20"/>
          <w:szCs w:val="20"/>
        </w:rPr>
        <w:t>9</w:t>
      </w:r>
      <w:r w:rsidRPr="009102D2">
        <w:rPr>
          <w:rFonts w:ascii="Tahoma" w:hAnsi="Tahoma" w:cs="Tahoma"/>
          <w:b/>
          <w:sz w:val="20"/>
          <w:szCs w:val="20"/>
        </w:rPr>
        <w:t>.2016. godine</w:t>
      </w:r>
    </w:p>
    <w:p w:rsidR="00D4252B" w:rsidRDefault="00D4252B" w:rsidP="009102D2">
      <w:pPr>
        <w:spacing w:after="0" w:line="288" w:lineRule="auto"/>
        <w:rPr>
          <w:rFonts w:ascii="Tahoma" w:hAnsi="Tahoma" w:cs="Tahoma"/>
          <w:b/>
          <w:sz w:val="20"/>
          <w:szCs w:val="20"/>
        </w:rPr>
      </w:pPr>
    </w:p>
    <w:p w:rsidR="009102D2" w:rsidRPr="009102D2" w:rsidRDefault="009102D2" w:rsidP="009102D2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9102D2">
        <w:rPr>
          <w:rFonts w:ascii="Tahoma" w:hAnsi="Tahoma" w:cs="Tahoma"/>
          <w:sz w:val="20"/>
          <w:szCs w:val="20"/>
        </w:rPr>
        <w:t>Danom otvaranja stečajnog postupka imovina stečajnog dužnika sastojala se od:</w:t>
      </w:r>
    </w:p>
    <w:p w:rsidR="009102D2" w:rsidRDefault="009102D2" w:rsidP="009102D2">
      <w:pPr>
        <w:spacing w:after="0" w:line="288" w:lineRule="auto"/>
        <w:rPr>
          <w:rFonts w:ascii="Tahoma" w:hAnsi="Tahoma" w:cs="Tahoma"/>
          <w:b/>
          <w:sz w:val="20"/>
          <w:szCs w:val="20"/>
        </w:rPr>
      </w:pPr>
    </w:p>
    <w:p w:rsidR="004B2536" w:rsidRPr="00DE3B1E" w:rsidRDefault="009102D2" w:rsidP="004B2536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1</w:t>
      </w:r>
      <w:r w:rsidRPr="00D928AA">
        <w:rPr>
          <w:rFonts w:ascii="Tahoma" w:hAnsi="Tahoma" w:cs="Tahoma"/>
          <w:b/>
          <w:sz w:val="20"/>
          <w:szCs w:val="20"/>
        </w:rPr>
        <w:t xml:space="preserve">. </w:t>
      </w:r>
      <w:r w:rsidR="004B2536">
        <w:rPr>
          <w:rFonts w:ascii="Tahoma" w:hAnsi="Tahoma" w:cs="Tahoma"/>
          <w:b/>
          <w:sz w:val="20"/>
          <w:szCs w:val="20"/>
        </w:rPr>
        <w:t>Pokretnina</w:t>
      </w:r>
      <w:r w:rsidRPr="002925F1">
        <w:rPr>
          <w:rFonts w:ascii="Tahoma" w:hAnsi="Tahoma" w:cs="Tahoma"/>
          <w:b/>
          <w:sz w:val="20"/>
          <w:szCs w:val="20"/>
        </w:rPr>
        <w:t xml:space="preserve"> </w:t>
      </w:r>
      <w:r w:rsidRPr="00D928AA">
        <w:rPr>
          <w:rFonts w:ascii="Tahoma" w:hAnsi="Tahoma" w:cs="Tahoma"/>
          <w:sz w:val="20"/>
          <w:szCs w:val="20"/>
        </w:rPr>
        <w:t xml:space="preserve">u iznosu </w:t>
      </w:r>
      <w:r w:rsidR="002049B0" w:rsidRPr="00DE3B1E">
        <w:rPr>
          <w:rFonts w:ascii="Tahoma" w:hAnsi="Tahoma" w:cs="Tahoma"/>
          <w:sz w:val="20"/>
          <w:szCs w:val="20"/>
        </w:rPr>
        <w:t xml:space="preserve">knjigovodstvene vrijednosti </w:t>
      </w:r>
      <w:r w:rsidRPr="00DE3B1E">
        <w:rPr>
          <w:rFonts w:ascii="Tahoma" w:hAnsi="Tahoma" w:cs="Tahoma"/>
          <w:sz w:val="20"/>
          <w:szCs w:val="20"/>
        </w:rPr>
        <w:t>od 40.009,24 kn, a koje pokretnine su</w:t>
      </w:r>
      <w:r w:rsidR="004B2536" w:rsidRPr="00DE3B1E">
        <w:rPr>
          <w:rFonts w:ascii="Tahoma" w:hAnsi="Tahoma" w:cs="Tahoma"/>
          <w:sz w:val="20"/>
          <w:szCs w:val="20"/>
        </w:rPr>
        <w:t xml:space="preserve"> procijenjene </w:t>
      </w:r>
      <w:r w:rsidRPr="00DE3B1E">
        <w:rPr>
          <w:rFonts w:ascii="Tahoma" w:hAnsi="Tahoma" w:cs="Tahoma"/>
          <w:sz w:val="20"/>
          <w:szCs w:val="20"/>
        </w:rPr>
        <w:t>na iznos od 4.296,00 kn + PDV, odnosno</w:t>
      </w:r>
      <w:r>
        <w:rPr>
          <w:rFonts w:ascii="Tahoma" w:hAnsi="Tahoma" w:cs="Tahoma"/>
          <w:sz w:val="20"/>
          <w:szCs w:val="20"/>
        </w:rPr>
        <w:t xml:space="preserve"> u ukupnom iznosu od 5.370,00 kn.</w:t>
      </w:r>
      <w:r w:rsidR="004B2536">
        <w:rPr>
          <w:rFonts w:ascii="Tahoma" w:hAnsi="Tahoma" w:cs="Tahoma"/>
          <w:sz w:val="20"/>
          <w:szCs w:val="20"/>
        </w:rPr>
        <w:t xml:space="preserve"> </w:t>
      </w:r>
      <w:r w:rsidRPr="009102D2">
        <w:rPr>
          <w:rFonts w:ascii="Tahoma" w:hAnsi="Tahoma" w:cs="Tahoma"/>
          <w:sz w:val="20"/>
          <w:szCs w:val="20"/>
        </w:rPr>
        <w:t xml:space="preserve">Stečajna upraviteljica unovčila je gore navedene pokretnine direktnom pogodbom po cijeni utvrđenoj po vještačkom nalazu i mišljenju i to prodajom društvu </w:t>
      </w:r>
      <w:proofErr w:type="spellStart"/>
      <w:r w:rsidRPr="009102D2">
        <w:rPr>
          <w:rFonts w:ascii="Tahoma" w:hAnsi="Tahoma" w:cs="Tahoma"/>
          <w:sz w:val="20"/>
          <w:szCs w:val="20"/>
        </w:rPr>
        <w:t>Elimea</w:t>
      </w:r>
      <w:proofErr w:type="spellEnd"/>
      <w:r w:rsidRPr="009102D2">
        <w:rPr>
          <w:rFonts w:ascii="Tahoma" w:hAnsi="Tahoma" w:cs="Tahoma"/>
          <w:sz w:val="20"/>
          <w:szCs w:val="20"/>
        </w:rPr>
        <w:t xml:space="preserve"> d.o.o. iz Preloga koje je naved</w:t>
      </w:r>
      <w:r w:rsidR="004B2536">
        <w:rPr>
          <w:rFonts w:ascii="Tahoma" w:hAnsi="Tahoma" w:cs="Tahoma"/>
          <w:sz w:val="20"/>
          <w:szCs w:val="20"/>
        </w:rPr>
        <w:t xml:space="preserve">eni iznos u cijelosti i platilo, te je iz </w:t>
      </w:r>
      <w:r w:rsidR="004B2536" w:rsidRPr="00DE3B1E">
        <w:rPr>
          <w:rFonts w:ascii="Tahoma" w:hAnsi="Tahoma" w:cs="Tahoma"/>
          <w:sz w:val="20"/>
          <w:szCs w:val="20"/>
          <w:u w:val="single"/>
        </w:rPr>
        <w:t xml:space="preserve">navedenog iznosa namirila </w:t>
      </w:r>
      <w:proofErr w:type="spellStart"/>
      <w:r w:rsidR="004B2536" w:rsidRPr="00DE3B1E">
        <w:rPr>
          <w:rFonts w:ascii="Tahoma" w:hAnsi="Tahoma" w:cs="Tahoma"/>
          <w:sz w:val="20"/>
          <w:szCs w:val="20"/>
          <w:u w:val="single"/>
        </w:rPr>
        <w:t>razlučne</w:t>
      </w:r>
      <w:proofErr w:type="spellEnd"/>
      <w:r w:rsidR="004B2536" w:rsidRPr="00DE3B1E">
        <w:rPr>
          <w:rFonts w:ascii="Tahoma" w:hAnsi="Tahoma" w:cs="Tahoma"/>
          <w:sz w:val="20"/>
          <w:szCs w:val="20"/>
          <w:u w:val="single"/>
        </w:rPr>
        <w:t xml:space="preserve"> vjerovnike Poreznu upravu i društvo</w:t>
      </w:r>
      <w:r w:rsidRPr="00DE3B1E">
        <w:rPr>
          <w:rFonts w:ascii="Tahoma" w:hAnsi="Tahoma" w:cs="Tahoma"/>
          <w:sz w:val="20"/>
          <w:szCs w:val="20"/>
          <w:u w:val="single"/>
        </w:rPr>
        <w:t xml:space="preserve"> Vidik d.o.o. Bjelovar </w:t>
      </w:r>
      <w:r w:rsidR="004B2536" w:rsidRPr="00DE3B1E">
        <w:rPr>
          <w:rFonts w:ascii="Tahoma" w:hAnsi="Tahoma" w:cs="Tahoma"/>
          <w:sz w:val="20"/>
          <w:szCs w:val="20"/>
          <w:u w:val="single"/>
        </w:rPr>
        <w:t>sukladno</w:t>
      </w:r>
      <w:r w:rsidR="00CF4B45">
        <w:rPr>
          <w:rFonts w:ascii="Tahoma" w:hAnsi="Tahoma" w:cs="Tahoma"/>
          <w:sz w:val="20"/>
          <w:szCs w:val="20"/>
          <w:u w:val="single"/>
        </w:rPr>
        <w:t xml:space="preserve"> rješenju naslovnog suda od 25.05.2016.g.</w:t>
      </w:r>
    </w:p>
    <w:p w:rsidR="009102D2" w:rsidRDefault="009102D2" w:rsidP="009102D2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9102D2" w:rsidRDefault="004B2536" w:rsidP="004B2536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 xml:space="preserve">2. </w:t>
      </w:r>
      <w:r w:rsidR="009102D2" w:rsidRPr="002925F1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 xml:space="preserve">Nekretnina </w:t>
      </w:r>
      <w:r w:rsidR="009102D2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–</w:t>
      </w:r>
      <w:r w:rsidR="009102D2" w:rsidRPr="002925F1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</w:t>
      </w:r>
      <w:r w:rsidR="009102D2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koju stečajni dužnik </w:t>
      </w:r>
      <w:r w:rsidR="009102D2" w:rsidRPr="00F6551C"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>nema evidentiranu u poslovnim knjigama</w:t>
      </w:r>
      <w:r w:rsidR="009102D2" w:rsidRPr="00F6551C">
        <w:rPr>
          <w:rFonts w:ascii="Tahoma" w:hAnsi="Tahoma" w:cs="Tahoma"/>
          <w:sz w:val="20"/>
          <w:szCs w:val="20"/>
          <w:u w:val="single"/>
        </w:rPr>
        <w:t xml:space="preserve"> kao imovinu</w:t>
      </w:r>
      <w:r w:rsidR="009102D2">
        <w:rPr>
          <w:rFonts w:ascii="Tahoma" w:hAnsi="Tahoma" w:cs="Tahoma"/>
          <w:sz w:val="20"/>
          <w:szCs w:val="20"/>
        </w:rPr>
        <w:t xml:space="preserve"> u naravi čini kuću</w:t>
      </w:r>
      <w:r w:rsidR="009102D2" w:rsidRPr="005F6217">
        <w:rPr>
          <w:rFonts w:ascii="Tahoma" w:hAnsi="Tahoma" w:cs="Tahoma"/>
          <w:sz w:val="20"/>
          <w:szCs w:val="20"/>
        </w:rPr>
        <w:t>, gospodarsk</w:t>
      </w:r>
      <w:r w:rsidR="009102D2">
        <w:rPr>
          <w:rFonts w:ascii="Tahoma" w:hAnsi="Tahoma" w:cs="Tahoma"/>
          <w:sz w:val="20"/>
          <w:szCs w:val="20"/>
        </w:rPr>
        <w:t>u zgradu</w:t>
      </w:r>
      <w:r w:rsidR="009102D2" w:rsidRPr="005F6217">
        <w:rPr>
          <w:rFonts w:ascii="Tahoma" w:hAnsi="Tahoma" w:cs="Tahoma"/>
          <w:sz w:val="20"/>
          <w:szCs w:val="20"/>
        </w:rPr>
        <w:t xml:space="preserve">, </w:t>
      </w:r>
      <w:r w:rsidR="009102D2">
        <w:rPr>
          <w:rFonts w:ascii="Tahoma" w:hAnsi="Tahoma" w:cs="Tahoma"/>
          <w:sz w:val="20"/>
          <w:szCs w:val="20"/>
        </w:rPr>
        <w:t>štagalj i</w:t>
      </w:r>
      <w:r w:rsidR="009102D2" w:rsidRPr="005F6217">
        <w:rPr>
          <w:rFonts w:ascii="Tahoma" w:hAnsi="Tahoma" w:cs="Tahoma"/>
          <w:sz w:val="20"/>
          <w:szCs w:val="20"/>
        </w:rPr>
        <w:t xml:space="preserve"> dvorište, ukupne površine od 737</w:t>
      </w:r>
      <w:r w:rsidR="009102D2">
        <w:rPr>
          <w:rFonts w:ascii="Tahoma" w:hAnsi="Tahoma" w:cs="Tahoma"/>
          <w:sz w:val="20"/>
          <w:szCs w:val="20"/>
        </w:rPr>
        <w:t xml:space="preserve"> m²,  upisane u k.č.br.  477/3 i </w:t>
      </w:r>
      <w:r w:rsidR="009102D2" w:rsidRPr="005F6217">
        <w:rPr>
          <w:rFonts w:ascii="Tahoma" w:hAnsi="Tahoma" w:cs="Tahoma"/>
          <w:sz w:val="20"/>
          <w:szCs w:val="20"/>
        </w:rPr>
        <w:t xml:space="preserve">voćnjak </w:t>
      </w:r>
      <w:r w:rsidR="009102D2">
        <w:rPr>
          <w:rFonts w:ascii="Tahoma" w:hAnsi="Tahoma" w:cs="Tahoma"/>
          <w:sz w:val="20"/>
          <w:szCs w:val="20"/>
        </w:rPr>
        <w:t>ukupne površine 349 m², upisan</w:t>
      </w:r>
      <w:r w:rsidR="009102D2" w:rsidRPr="005F6217">
        <w:rPr>
          <w:rFonts w:ascii="Tahoma" w:hAnsi="Tahoma" w:cs="Tahoma"/>
          <w:sz w:val="20"/>
          <w:szCs w:val="20"/>
        </w:rPr>
        <w:t xml:space="preserve"> u k.č.br. 477/4, </w:t>
      </w:r>
      <w:r w:rsidR="009102D2">
        <w:rPr>
          <w:rFonts w:ascii="Tahoma" w:hAnsi="Tahoma" w:cs="Tahoma"/>
          <w:sz w:val="20"/>
          <w:szCs w:val="20"/>
        </w:rPr>
        <w:t xml:space="preserve"> sve </w:t>
      </w:r>
      <w:r w:rsidR="009102D2" w:rsidRPr="005F6217">
        <w:rPr>
          <w:rFonts w:ascii="Tahoma" w:hAnsi="Tahoma" w:cs="Tahoma"/>
          <w:sz w:val="20"/>
          <w:szCs w:val="20"/>
        </w:rPr>
        <w:t xml:space="preserve">z.k.ul. br. 2894, k.o. Prelog, </w:t>
      </w:r>
      <w:r w:rsidR="009102D2">
        <w:rPr>
          <w:rFonts w:ascii="Tahoma" w:hAnsi="Tahoma" w:cs="Tahoma"/>
          <w:sz w:val="20"/>
          <w:szCs w:val="20"/>
        </w:rPr>
        <w:t xml:space="preserve">i to u </w:t>
      </w:r>
      <w:r w:rsidR="009102D2" w:rsidRPr="005F6217">
        <w:rPr>
          <w:rFonts w:ascii="Tahoma" w:hAnsi="Tahoma" w:cs="Tahoma"/>
          <w:sz w:val="20"/>
          <w:szCs w:val="20"/>
        </w:rPr>
        <w:t>4/8 dijela u kojemu je stečajni dužnik suvlasnik</w:t>
      </w:r>
      <w:r w:rsidR="009102D2">
        <w:rPr>
          <w:rFonts w:ascii="Tahoma" w:hAnsi="Tahoma" w:cs="Tahoma"/>
          <w:sz w:val="20"/>
          <w:szCs w:val="20"/>
        </w:rPr>
        <w:t>.</w:t>
      </w:r>
    </w:p>
    <w:p w:rsidR="009102D2" w:rsidRPr="006914E7" w:rsidRDefault="009102D2" w:rsidP="009102D2">
      <w:pPr>
        <w:pStyle w:val="Standard"/>
        <w:spacing w:after="0" w:line="288" w:lineRule="auto"/>
        <w:ind w:left="720"/>
        <w:jc w:val="both"/>
        <w:rPr>
          <w:rFonts w:ascii="Tahoma" w:hAnsi="Tahoma" w:cs="Tahoma"/>
          <w:b/>
          <w:i/>
          <w:sz w:val="20"/>
          <w:szCs w:val="20"/>
        </w:rPr>
      </w:pPr>
    </w:p>
    <w:p w:rsidR="009102D2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Bivši direktor stečajnog dužnika me obavijestio da je stečajni dužnik temeljem Ugovora o kupoprodaji nekretnina od 23.12.2006.g. koji je zaključen s jedne strane između stečajnog dužnika kao kupca te </w:t>
      </w:r>
      <w:proofErr w:type="spellStart"/>
      <w:r>
        <w:rPr>
          <w:rFonts w:ascii="Tahoma" w:hAnsi="Tahoma" w:cs="Tahoma"/>
          <w:sz w:val="20"/>
          <w:szCs w:val="20"/>
        </w:rPr>
        <w:t>Božek</w:t>
      </w:r>
      <w:proofErr w:type="spellEnd"/>
      <w:r>
        <w:rPr>
          <w:rFonts w:ascii="Tahoma" w:hAnsi="Tahoma" w:cs="Tahoma"/>
          <w:sz w:val="20"/>
          <w:szCs w:val="20"/>
        </w:rPr>
        <w:t xml:space="preserve"> Stjepana, </w:t>
      </w:r>
      <w:proofErr w:type="spellStart"/>
      <w:r>
        <w:rPr>
          <w:rFonts w:ascii="Tahoma" w:hAnsi="Tahoma" w:cs="Tahoma"/>
          <w:sz w:val="20"/>
          <w:szCs w:val="20"/>
        </w:rPr>
        <w:t>Kečkeš</w:t>
      </w:r>
      <w:proofErr w:type="spellEnd"/>
      <w:r>
        <w:rPr>
          <w:rFonts w:ascii="Tahoma" w:hAnsi="Tahoma" w:cs="Tahoma"/>
          <w:sz w:val="20"/>
          <w:szCs w:val="20"/>
        </w:rPr>
        <w:t xml:space="preserve"> Marije, Novosel Ane i </w:t>
      </w:r>
      <w:proofErr w:type="spellStart"/>
      <w:r>
        <w:rPr>
          <w:rFonts w:ascii="Tahoma" w:hAnsi="Tahoma" w:cs="Tahoma"/>
          <w:sz w:val="20"/>
          <w:szCs w:val="20"/>
        </w:rPr>
        <w:t>Božek</w:t>
      </w:r>
      <w:proofErr w:type="spellEnd"/>
      <w:r>
        <w:rPr>
          <w:rFonts w:ascii="Tahoma" w:hAnsi="Tahoma" w:cs="Tahoma"/>
          <w:sz w:val="20"/>
          <w:szCs w:val="20"/>
        </w:rPr>
        <w:t xml:space="preserve"> Jasminke kao svih prodavatelja s druge strane, steklo ½ dijela nekadašnje nekretnine upisane u </w:t>
      </w:r>
      <w:proofErr w:type="spellStart"/>
      <w:r>
        <w:rPr>
          <w:rFonts w:ascii="Tahoma" w:hAnsi="Tahoma" w:cs="Tahoma"/>
          <w:sz w:val="20"/>
          <w:szCs w:val="20"/>
        </w:rPr>
        <w:t>zk</w:t>
      </w:r>
      <w:proofErr w:type="spellEnd"/>
      <w:r>
        <w:rPr>
          <w:rFonts w:ascii="Tahoma" w:hAnsi="Tahoma" w:cs="Tahoma"/>
          <w:sz w:val="20"/>
          <w:szCs w:val="20"/>
        </w:rPr>
        <w:t xml:space="preserve">. ul. 2894 k.o. Prelog, </w:t>
      </w:r>
      <w:proofErr w:type="spellStart"/>
      <w:r>
        <w:rPr>
          <w:rFonts w:ascii="Tahoma" w:hAnsi="Tahoma" w:cs="Tahoma"/>
          <w:sz w:val="20"/>
          <w:szCs w:val="20"/>
        </w:rPr>
        <w:t>čkbr</w:t>
      </w:r>
      <w:proofErr w:type="spellEnd"/>
      <w:r>
        <w:rPr>
          <w:rFonts w:ascii="Tahoma" w:hAnsi="Tahoma" w:cs="Tahoma"/>
          <w:sz w:val="20"/>
          <w:szCs w:val="20"/>
        </w:rPr>
        <w:t xml:space="preserve">. 477 kuća, dvorište, vrt i pašnjak. Obzirom da su prodavatelji  u naravi bili vlasnici i koristili su samo jedan dio nekretnine koji je bio i fizički odvojen od drugog dijela nekretnine kojem su bili vlasnici Bermanec Tomo i </w:t>
      </w:r>
      <w:proofErr w:type="spellStart"/>
      <w:r>
        <w:rPr>
          <w:rFonts w:ascii="Tahoma" w:hAnsi="Tahoma" w:cs="Tahoma"/>
          <w:sz w:val="20"/>
          <w:szCs w:val="20"/>
        </w:rPr>
        <w:t>Đuran</w:t>
      </w:r>
      <w:proofErr w:type="spellEnd"/>
      <w:r>
        <w:rPr>
          <w:rFonts w:ascii="Tahoma" w:hAnsi="Tahoma" w:cs="Tahoma"/>
          <w:sz w:val="20"/>
          <w:szCs w:val="20"/>
        </w:rPr>
        <w:t xml:space="preserve"> Marija, odnosno njihovi nasljednici, a u cilju uređenja zemljišno-knjižnog stanja, navedena je nekretnina upisana u </w:t>
      </w:r>
      <w:proofErr w:type="spellStart"/>
      <w:r>
        <w:rPr>
          <w:rFonts w:ascii="Tahoma" w:hAnsi="Tahoma" w:cs="Tahoma"/>
          <w:sz w:val="20"/>
          <w:szCs w:val="20"/>
        </w:rPr>
        <w:t>zk.ul</w:t>
      </w:r>
      <w:proofErr w:type="spellEnd"/>
      <w:r>
        <w:rPr>
          <w:rFonts w:ascii="Tahoma" w:hAnsi="Tahoma" w:cs="Tahoma"/>
          <w:sz w:val="20"/>
          <w:szCs w:val="20"/>
        </w:rPr>
        <w:t xml:space="preserve">. 2894 k.o. Prelog cijepana na 4 </w:t>
      </w:r>
      <w:proofErr w:type="spellStart"/>
      <w:r>
        <w:rPr>
          <w:rFonts w:ascii="Tahoma" w:hAnsi="Tahoma" w:cs="Tahoma"/>
          <w:sz w:val="20"/>
          <w:szCs w:val="20"/>
        </w:rPr>
        <w:t>zk</w:t>
      </w:r>
      <w:proofErr w:type="spellEnd"/>
      <w:r>
        <w:rPr>
          <w:rFonts w:ascii="Tahoma" w:hAnsi="Tahoma" w:cs="Tahoma"/>
          <w:sz w:val="20"/>
          <w:szCs w:val="20"/>
        </w:rPr>
        <w:t xml:space="preserve">. čestice i to 477/1, 477/2, 477/3 i 477/4. </w:t>
      </w:r>
    </w:p>
    <w:p w:rsidR="009102D2" w:rsidRDefault="009102D2" w:rsidP="009102D2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9102D2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Nakon cijepanja čestice </w:t>
      </w:r>
      <w:proofErr w:type="spellStart"/>
      <w:r>
        <w:rPr>
          <w:rFonts w:ascii="Tahoma" w:hAnsi="Tahoma" w:cs="Tahoma"/>
          <w:sz w:val="20"/>
          <w:szCs w:val="20"/>
        </w:rPr>
        <w:t>br</w:t>
      </w:r>
      <w:proofErr w:type="spellEnd"/>
      <w:r>
        <w:rPr>
          <w:rFonts w:ascii="Tahoma" w:hAnsi="Tahoma" w:cs="Tahoma"/>
          <w:sz w:val="20"/>
          <w:szCs w:val="20"/>
        </w:rPr>
        <w:t xml:space="preserve"> 477. čestica br. 477/1 i 477/2 pripale su stečajnom dužniku, a čestice br. 477/3 i 477/4 su pripale Bermanec Tomi i </w:t>
      </w:r>
      <w:proofErr w:type="spellStart"/>
      <w:r>
        <w:rPr>
          <w:rFonts w:ascii="Tahoma" w:hAnsi="Tahoma" w:cs="Tahoma"/>
          <w:sz w:val="20"/>
          <w:szCs w:val="20"/>
        </w:rPr>
        <w:t>Đuran</w:t>
      </w:r>
      <w:proofErr w:type="spellEnd"/>
      <w:r>
        <w:rPr>
          <w:rFonts w:ascii="Tahoma" w:hAnsi="Tahoma" w:cs="Tahoma"/>
          <w:sz w:val="20"/>
          <w:szCs w:val="20"/>
        </w:rPr>
        <w:t xml:space="preserve"> Mariji, odnosno njihovim nasljednicima.</w:t>
      </w:r>
    </w:p>
    <w:p w:rsidR="009102D2" w:rsidRDefault="009102D2" w:rsidP="009102D2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9102D2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Slijedom navedenog je kod Općinskog suda u Prelogu pod brojem Z-293/07 vođen zemljišno knjižni ispravni postupak te je sud donio rješenje broj Z-293/07-14 kojim je uskladio zemljišno knjižno stanje sa stanjem u naravi na način da je brisao pravo vlasništva na </w:t>
      </w:r>
      <w:proofErr w:type="spellStart"/>
      <w:r>
        <w:rPr>
          <w:rFonts w:ascii="Tahoma" w:hAnsi="Tahoma" w:cs="Tahoma"/>
          <w:sz w:val="20"/>
          <w:szCs w:val="20"/>
        </w:rPr>
        <w:t>zk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  <w:proofErr w:type="spellStart"/>
      <w:r>
        <w:rPr>
          <w:rFonts w:ascii="Tahoma" w:hAnsi="Tahoma" w:cs="Tahoma"/>
          <w:sz w:val="20"/>
          <w:szCs w:val="20"/>
        </w:rPr>
        <w:t>ul</w:t>
      </w:r>
      <w:proofErr w:type="spellEnd"/>
      <w:r>
        <w:rPr>
          <w:rFonts w:ascii="Tahoma" w:hAnsi="Tahoma" w:cs="Tahoma"/>
          <w:sz w:val="20"/>
          <w:szCs w:val="20"/>
        </w:rPr>
        <w:t xml:space="preserve"> 2894 k.o. Prelog te je za čestice 477/1 i 477/2 sa imena </w:t>
      </w:r>
      <w:proofErr w:type="spellStart"/>
      <w:r>
        <w:rPr>
          <w:rFonts w:ascii="Tahoma" w:hAnsi="Tahoma" w:cs="Tahoma"/>
          <w:sz w:val="20"/>
          <w:szCs w:val="20"/>
        </w:rPr>
        <w:t>Đuran</w:t>
      </w:r>
      <w:proofErr w:type="spellEnd"/>
      <w:r>
        <w:rPr>
          <w:rFonts w:ascii="Tahoma" w:hAnsi="Tahoma" w:cs="Tahoma"/>
          <w:sz w:val="20"/>
          <w:szCs w:val="20"/>
        </w:rPr>
        <w:t xml:space="preserve"> Marije i Bermanec Tome odredio </w:t>
      </w:r>
      <w:proofErr w:type="spellStart"/>
      <w:r>
        <w:rPr>
          <w:rFonts w:ascii="Tahoma" w:hAnsi="Tahoma" w:cs="Tahoma"/>
          <w:sz w:val="20"/>
          <w:szCs w:val="20"/>
        </w:rPr>
        <w:t>besteretni</w:t>
      </w:r>
      <w:proofErr w:type="spellEnd"/>
      <w:r>
        <w:rPr>
          <w:rFonts w:ascii="Tahoma" w:hAnsi="Tahoma" w:cs="Tahoma"/>
          <w:sz w:val="20"/>
          <w:szCs w:val="20"/>
        </w:rPr>
        <w:t xml:space="preserve"> otpis nekretnina te uknjižbu prava vlasništva na stečajnog dužnika.</w:t>
      </w:r>
    </w:p>
    <w:p w:rsidR="009102D2" w:rsidRDefault="009102D2" w:rsidP="009102D2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9102D2" w:rsidRPr="00DE3B1E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E3B1E">
        <w:rPr>
          <w:rFonts w:ascii="Tahoma" w:hAnsi="Tahoma" w:cs="Tahoma"/>
          <w:sz w:val="20"/>
          <w:szCs w:val="20"/>
        </w:rPr>
        <w:t xml:space="preserve">Kako su u trenutku provođenja ispravnog postupka knjižni vlasnici </w:t>
      </w:r>
      <w:proofErr w:type="spellStart"/>
      <w:r w:rsidRPr="00DE3B1E">
        <w:rPr>
          <w:rFonts w:ascii="Tahoma" w:hAnsi="Tahoma" w:cs="Tahoma"/>
          <w:sz w:val="20"/>
          <w:szCs w:val="20"/>
        </w:rPr>
        <w:t>Đuran</w:t>
      </w:r>
      <w:proofErr w:type="spellEnd"/>
      <w:r w:rsidRPr="00DE3B1E">
        <w:rPr>
          <w:rFonts w:ascii="Tahoma" w:hAnsi="Tahoma" w:cs="Tahoma"/>
          <w:sz w:val="20"/>
          <w:szCs w:val="20"/>
        </w:rPr>
        <w:t xml:space="preserve"> Marija i Bermanec Tomo već bili pokojni, a ostavinski postupci nisu provedeni, zemljišno knjižno stanje na česticama 477/3 i 477/4 nije uređeno, te na predmetnim česticama nije brisano pravo vlasništva  sa imena stečajnog dužnika i upisa nasljednika </w:t>
      </w:r>
      <w:proofErr w:type="spellStart"/>
      <w:r w:rsidRPr="00DE3B1E">
        <w:rPr>
          <w:rFonts w:ascii="Tahoma" w:hAnsi="Tahoma" w:cs="Tahoma"/>
          <w:sz w:val="20"/>
          <w:szCs w:val="20"/>
        </w:rPr>
        <w:t>Đuran</w:t>
      </w:r>
      <w:proofErr w:type="spellEnd"/>
      <w:r w:rsidRPr="00DE3B1E">
        <w:rPr>
          <w:rFonts w:ascii="Tahoma" w:hAnsi="Tahoma" w:cs="Tahoma"/>
          <w:sz w:val="20"/>
          <w:szCs w:val="20"/>
        </w:rPr>
        <w:t xml:space="preserve"> Marije i Bermanec Tome.</w:t>
      </w:r>
    </w:p>
    <w:p w:rsidR="009102D2" w:rsidRPr="00DE3B1E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</w:p>
    <w:p w:rsidR="009102D2" w:rsidRDefault="009102D2" w:rsidP="009102D2">
      <w:pPr>
        <w:pStyle w:val="Standard"/>
        <w:spacing w:after="0" w:line="288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6914E7">
        <w:rPr>
          <w:rFonts w:ascii="Tahoma" w:hAnsi="Tahoma" w:cs="Tahoma"/>
          <w:b/>
          <w:i/>
          <w:sz w:val="20"/>
          <w:szCs w:val="20"/>
        </w:rPr>
        <w:t>Napomena</w:t>
      </w:r>
      <w:r>
        <w:rPr>
          <w:rFonts w:ascii="Tahoma" w:hAnsi="Tahoma" w:cs="Tahoma"/>
          <w:sz w:val="20"/>
          <w:szCs w:val="20"/>
        </w:rPr>
        <w:t xml:space="preserve">: Dostavljene su obavijesti vjerovnika o postojanju </w:t>
      </w:r>
      <w:proofErr w:type="spellStart"/>
      <w:r>
        <w:rPr>
          <w:rFonts w:ascii="Tahoma" w:hAnsi="Tahoma" w:cs="Tahoma"/>
          <w:sz w:val="20"/>
          <w:szCs w:val="20"/>
        </w:rPr>
        <w:t>razlučnog</w:t>
      </w:r>
      <w:proofErr w:type="spellEnd"/>
      <w:r>
        <w:rPr>
          <w:rFonts w:ascii="Tahoma" w:hAnsi="Tahoma" w:cs="Tahoma"/>
          <w:sz w:val="20"/>
          <w:szCs w:val="20"/>
        </w:rPr>
        <w:t xml:space="preserve"> prava na gore navedenoj nekretnini i to društva ĐURKIN d.o.o., BAT d.o.o., EUROBETON d.d. i  RH, Ministarstvo financija, Porezna uprava, područni ured Čakovec.</w:t>
      </w:r>
    </w:p>
    <w:p w:rsidR="00972C2B" w:rsidRDefault="00972C2B" w:rsidP="009102D2">
      <w:pPr>
        <w:pStyle w:val="Standard"/>
        <w:spacing w:after="0" w:line="288" w:lineRule="auto"/>
        <w:ind w:left="720"/>
        <w:jc w:val="both"/>
        <w:rPr>
          <w:rFonts w:ascii="Tahoma" w:hAnsi="Tahoma" w:cs="Tahoma"/>
          <w:sz w:val="20"/>
          <w:szCs w:val="20"/>
        </w:rPr>
      </w:pPr>
    </w:p>
    <w:p w:rsidR="009102D2" w:rsidRPr="00DE3B1E" w:rsidRDefault="009102D2" w:rsidP="009102D2">
      <w:pPr>
        <w:pStyle w:val="Standard"/>
        <w:spacing w:after="0" w:line="288" w:lineRule="auto"/>
        <w:ind w:left="720"/>
        <w:jc w:val="both"/>
        <w:rPr>
          <w:rFonts w:ascii="Tahoma" w:hAnsi="Tahoma" w:cs="Tahoma"/>
          <w:sz w:val="20"/>
          <w:szCs w:val="20"/>
          <w:u w:val="single"/>
        </w:rPr>
      </w:pPr>
      <w:r w:rsidRPr="00DE3B1E">
        <w:rPr>
          <w:rFonts w:ascii="Tahoma" w:hAnsi="Tahoma" w:cs="Tahoma"/>
          <w:sz w:val="20"/>
          <w:szCs w:val="20"/>
          <w:u w:val="single"/>
        </w:rPr>
        <w:t xml:space="preserve">Odlukom skupštine vjerovnika </w:t>
      </w:r>
      <w:r w:rsidR="00972C2B" w:rsidRPr="00DE3B1E">
        <w:rPr>
          <w:rFonts w:ascii="Tahoma" w:hAnsi="Tahoma" w:cs="Tahoma"/>
          <w:sz w:val="20"/>
          <w:szCs w:val="20"/>
          <w:u w:val="single"/>
        </w:rPr>
        <w:t xml:space="preserve">09.10.2014.g. odlučeno je da se </w:t>
      </w:r>
      <w:proofErr w:type="spellStart"/>
      <w:r w:rsidR="00972C2B" w:rsidRPr="00DE3B1E">
        <w:rPr>
          <w:rFonts w:ascii="Tahoma" w:hAnsi="Tahoma" w:cs="Tahoma"/>
          <w:sz w:val="20"/>
          <w:szCs w:val="20"/>
          <w:u w:val="single"/>
        </w:rPr>
        <w:t>zk</w:t>
      </w:r>
      <w:proofErr w:type="spellEnd"/>
      <w:r w:rsidR="00972C2B" w:rsidRPr="00DE3B1E">
        <w:rPr>
          <w:rFonts w:ascii="Tahoma" w:hAnsi="Tahoma" w:cs="Tahoma"/>
          <w:sz w:val="20"/>
          <w:szCs w:val="20"/>
          <w:u w:val="single"/>
        </w:rPr>
        <w:t xml:space="preserve"> čestice br. 477/3 i 477/4 k.o. Prelog ne prodaju u ovom stečajnom postupku obzirom da ne postoji pravna osnova za stjecanje vlasništva nad tim česticama.</w:t>
      </w:r>
    </w:p>
    <w:p w:rsidR="00DE28BB" w:rsidRDefault="00DE28BB" w:rsidP="00DE28BB">
      <w:pPr>
        <w:pStyle w:val="Standard"/>
        <w:ind w:left="72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9102D2" w:rsidRPr="00DE3B1E" w:rsidRDefault="009102D2" w:rsidP="00F6551C">
      <w:pPr>
        <w:pStyle w:val="Standard"/>
        <w:numPr>
          <w:ilvl w:val="0"/>
          <w:numId w:val="36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Ostala potraživanja u iznosu </w:t>
      </w:r>
      <w:r w:rsidRP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od 1.748,18 kn, koja potraživanja ne sačinjavaju stečajnu masu jer se odnose na pretplatu PDV-a, te u poslovnim evidencijama nisu izvršena sva potrebna knjiženja, pa se vrijednost u početnoj stečajnoj bilanci iskazuje u  iznosu od 0,00 kn.</w:t>
      </w:r>
    </w:p>
    <w:p w:rsidR="009102D2" w:rsidRDefault="009102D2" w:rsidP="009102D2">
      <w:pPr>
        <w:pStyle w:val="Standard"/>
        <w:numPr>
          <w:ilvl w:val="0"/>
          <w:numId w:val="36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Potraživanja od kupaca otvorena danom otvaranja stečajnog postupka iznos</w:t>
      </w:r>
      <w:r w:rsidR="00036B89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ila su 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</w:t>
      </w:r>
      <w:r w:rsidRPr="002F255E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>463.212,25 kn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, a odnose se na zastarjela nenaplativa potraživanja u iznosu od 31.128,25 kn i potraživanja od kupaca temeljem Ugovora o kupoprodaji u iznosu od 432.084,00 kn i to potraživanja od :</w:t>
      </w:r>
    </w:p>
    <w:p w:rsidR="00036B89" w:rsidRDefault="009102D2" w:rsidP="009102D2">
      <w:pPr>
        <w:pStyle w:val="Standard"/>
        <w:numPr>
          <w:ilvl w:val="1"/>
          <w:numId w:val="36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Zoran Vuk, </w:t>
      </w:r>
      <w:proofErr w:type="spellStart"/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S.Radića</w:t>
      </w:r>
      <w:proofErr w:type="spellEnd"/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21, Prelog, a temeljem Ugovora o kupoprodaji  nekretnine br. 01/2014 kn od 08.05.2014. godine, kojem je stečajni dužnik izvršio prodaju 1 etaže: 312/1000 stan oznake S-1 u prizemlju zgrade, ukupne površine 83,96 m² i 5 etaža: 47/1000 garaže oznake G-1 u prizemlju ukupne površine 25,20 m², za iznos od 402.084,00 kn, uz navedenu valutu plaćanja u čl. 7. Ugovora i to najkasnije do 24 mjeseci od datuma potpisivanja Ugovora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. </w:t>
      </w:r>
    </w:p>
    <w:p w:rsidR="009102D2" w:rsidRDefault="00036B89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N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avedeno </w:t>
      </w:r>
      <w:r w:rsidR="00972C2B" w:rsidRP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potraživanje je namireno u cijelosti i glede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istog je podneskom stečajne upraviteljice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od 09.11.2015.g.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predloženo n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a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mirenje troškova stečajnog vjerovnika i djelomična dioba vjer</w:t>
      </w:r>
      <w:r w:rsidR="00DE28B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ovnika I višeg isplatnog reda RH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, Ministarstvo financija</w:t>
      </w:r>
      <w:r w:rsidR="00DE28B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.</w:t>
      </w:r>
      <w:r w:rsid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</w:t>
      </w:r>
      <w:r w:rsidR="00176590" w:rsidRPr="00DE3B1E"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 xml:space="preserve">Temeljem Odluke skupštine vjerovnika od 23.02.2016.g. izvršeno je namirenje djelomične diobe vjerovnika I višeg isplatno reda u iznosu od 250.000,00 kn. </w:t>
      </w:r>
    </w:p>
    <w:p w:rsidR="00DE3B1E" w:rsidRPr="00DE3B1E" w:rsidRDefault="00DE3B1E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</w:pPr>
    </w:p>
    <w:p w:rsidR="00036B89" w:rsidRPr="00E05D1D" w:rsidRDefault="009102D2" w:rsidP="00E05D1D">
      <w:pPr>
        <w:pStyle w:val="Standard"/>
        <w:numPr>
          <w:ilvl w:val="1"/>
          <w:numId w:val="36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Zoran </w:t>
      </w:r>
      <w:proofErr w:type="spellStart"/>
      <w:r w:rsidRP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Sinković</w:t>
      </w:r>
      <w:proofErr w:type="spellEnd"/>
      <w:r w:rsidRP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, Čakovečka 56, Prelog, a temeljem Ugovora o kupoprodaji nekretnine br. 03/2014 od 19.05.2014. godine, kojem je stečajni dužnik izvršio prodaju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nekretnine </w:t>
      </w:r>
      <w:r w:rsidRP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</w:t>
      </w:r>
      <w:r w:rsidR="00E05D1D"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upisane u </w:t>
      </w:r>
      <w:proofErr w:type="spellStart"/>
      <w:r w:rsidR="00E05D1D"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zk</w:t>
      </w:r>
      <w:proofErr w:type="spellEnd"/>
      <w:r w:rsidR="00E05D1D"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. ul. br. 8006/ poduložak </w:t>
      </w:r>
      <w:proofErr w:type="spellStart"/>
      <w:r w:rsidR="00E05D1D"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br</w:t>
      </w:r>
      <w:proofErr w:type="spellEnd"/>
      <w:r w:rsidR="00E05D1D"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6, k.o. Prelog, čestica broj 477/1 stambena zgrada, pomoćna zgrada i dvorište u Čakovečkoj ulici površine 1086 m2 u 47/1000 dijela povezano s vlasništvom cijelog posebnog dijela nekretnine i to garaža oznake G-2 u prizemlju pomoćne zgrade koja se sastoji od garaže i spremišta ukupne površine 25,20 m2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za</w:t>
      </w:r>
      <w:r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iznos od 30.000,00 kn, uz navedenu valutu plaćanja u čl. 7. Ugovora i to najkasnije do 12 mjeseci od datuma potpisivanja Ugovora</w:t>
      </w:r>
      <w:r w:rsidR="00972C2B"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. </w:t>
      </w:r>
    </w:p>
    <w:p w:rsidR="00CF4B45" w:rsidRDefault="00972C2B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Obzirom da je </w:t>
      </w:r>
      <w:proofErr w:type="spellStart"/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Sinkovi</w:t>
      </w:r>
      <w:r w:rsidR="00036B89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ć</w:t>
      </w:r>
      <w:proofErr w:type="spellEnd"/>
      <w:r w:rsidR="00036B89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Zoran oba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v</w:t>
      </w:r>
      <w:r w:rsidR="00036B89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ij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estio stečajnu upraviteljicu da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u tom trenutku 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nema sredstava za kupnju navedene nekretnine to je stečajna upraviteljica otkazala ugovor o kupoprodaji nekretnine</w:t>
      </w:r>
      <w:r w:rsid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, koji je i ovjeren kod javnog bilježnika te je dana 23.02.2016.g. podnesen prijedlog Općinskom sudu u Čakovcu, </w:t>
      </w:r>
      <w:proofErr w:type="spellStart"/>
      <w:r w:rsid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zk</w:t>
      </w:r>
      <w:proofErr w:type="spellEnd"/>
      <w:r w:rsid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. odjel Prelog za uknjižbu prava vlasništva na toj nekretnini na ime stečajnog dužnika.</w:t>
      </w:r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Rješenjem Općinskog suda u Čakovcu o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d</w:t>
      </w:r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dana </w:t>
      </w:r>
      <w:r w:rsidR="00CF4B4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25.02</w:t>
      </w:r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.2016.g., a koje je stečajna upraviteljica zaprimila dana 07.07.2016.g. dopuštena je uknjižba</w:t>
      </w:r>
      <w:r w:rsidR="00CF4B4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prava vlasništva  na navedenoj nekretnini za korist stečajnog dužnika. </w:t>
      </w:r>
    </w:p>
    <w:p w:rsidR="00CF4B45" w:rsidRPr="00FB01E0" w:rsidRDefault="00CF4B45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F6551C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>Prilog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: rješenje od 25.02.2016.g.</w:t>
      </w:r>
    </w:p>
    <w:p w:rsidR="00FB01E0" w:rsidRPr="00FB01E0" w:rsidRDefault="00176590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Prema podacima Porezne uprave, ista se procjenjuje na iznos od 30.000,00 kn.</w:t>
      </w:r>
    </w:p>
    <w:p w:rsidR="00CF4B45" w:rsidRPr="00FB01E0" w:rsidRDefault="00176590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Dana 13.05.2016.g. stečajna upraviteljica zaprimila je ponudu </w:t>
      </w:r>
      <w:proofErr w:type="spellStart"/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Sinković</w:t>
      </w:r>
      <w:proofErr w:type="spellEnd"/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Zorana za kupnju navedene nekretnine za iznos od 8.500,00 kn + PDV</w:t>
      </w:r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, obzirom da predmetna nekretnina u naravi garaža, nema vlastiti priključak struje, nalazi se na nepristupačnoj lokaciji te je u </w:t>
      </w:r>
      <w:proofErr w:type="spellStart"/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roh</w:t>
      </w:r>
      <w:proofErr w:type="spellEnd"/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-</w:t>
      </w:r>
      <w:proofErr w:type="spellStart"/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bau</w:t>
      </w:r>
      <w:proofErr w:type="spellEnd"/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izvedbi. </w:t>
      </w:r>
    </w:p>
    <w:p w:rsidR="00CF4B45" w:rsidRDefault="00CF4B45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>S</w:t>
      </w:r>
      <w:r w:rsidR="00176590" w:rsidRPr="00DE3B1E"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 xml:space="preserve">lijedom </w:t>
      </w:r>
      <w:r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 xml:space="preserve">navedenog predlažem da skupština vjerovnika donese odluku o tome da li će se prihvatiti ponuda za kupnju predmetne nekretnine </w:t>
      </w:r>
      <w:proofErr w:type="spellStart"/>
      <w:r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>Sinković</w:t>
      </w:r>
      <w:proofErr w:type="spellEnd"/>
      <w:r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 xml:space="preserve"> Zorana ili će se pak ista prodavati u ovom stečajnom postupku.</w:t>
      </w:r>
    </w:p>
    <w:p w:rsidR="00DE3B1E" w:rsidRPr="00DE3B1E" w:rsidRDefault="00DE3B1E" w:rsidP="00DE3B1E">
      <w:pPr>
        <w:pStyle w:val="Standard"/>
        <w:ind w:left="361" w:firstLine="709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DE3B1E" w:rsidRDefault="00176590" w:rsidP="00172B15">
      <w:pPr>
        <w:pStyle w:val="Standard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Nadalje, društvo Parketi </w:t>
      </w:r>
      <w:proofErr w:type="spellStart"/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Gosarić</w:t>
      </w:r>
      <w:proofErr w:type="spellEnd"/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d.o.o. iz Preloga, obavijestilo me je da je stečajni dužnik bio vlasnik </w:t>
      </w:r>
      <w:r w:rsidRPr="00DE3B1E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>motornog vozila VW Transporter T4 2,</w:t>
      </w:r>
      <w:r w:rsidR="00172B15" w:rsidRPr="00DE3B1E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 xml:space="preserve"> reg. oznake ČK 736 DR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a koje je prodalo društvu </w:t>
      </w:r>
      <w:r w:rsidRP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Parketi </w:t>
      </w:r>
      <w:proofErr w:type="spellStart"/>
      <w:r w:rsidRP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Gosarić</w:t>
      </w:r>
      <w:proofErr w:type="spellEnd"/>
      <w:r w:rsidRP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d.o.o. iz Preloga</w:t>
      </w:r>
      <w:r w:rsid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prije otvaranja stečajnog postupka - 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2010.g.</w:t>
      </w:r>
      <w:r w:rsid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Obzirom da na motornom vozilu nije izvršen upis novog vlasnika na predmetnom vozilu to predlažem </w:t>
      </w:r>
      <w:r w:rsidR="00172B15" w:rsidRP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sud da done</w:t>
      </w:r>
      <w:r w:rsid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se zaključak kojim se ovlašćuje kupac </w:t>
      </w:r>
      <w:r w:rsidR="00172B15" w:rsidRP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Parketi </w:t>
      </w:r>
      <w:proofErr w:type="spellStart"/>
      <w:r w:rsidR="00172B15" w:rsidRP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Gosarić</w:t>
      </w:r>
      <w:proofErr w:type="spellEnd"/>
      <w:r w:rsidR="00172B15" w:rsidRP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d.o.o.</w:t>
      </w:r>
      <w:r w:rsid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, Dravska 51, Prelog, OIB 75922118302 </w:t>
      </w:r>
      <w:r w:rsidR="00172B15" w:rsidRP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da zatraži od nadležne policijske uprave izdavanje knjižice vozila </w:t>
      </w:r>
      <w:r w:rsid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i prometne dozvole za kupljen motorno vozilo VW Transporter T4 2, 4D bijele boje, broj šasije WV2ZZZ70ZYHO62110</w:t>
      </w:r>
      <w:r w:rsidR="00172B15" w:rsidRPr="00172B1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, reg. oznake ČK 736 DR kojim se određuje se brisanje prava vlasništva stečajnog dužnika na prodanom vozilu u evidenciji o registriranim i označenim vozilima kod nadležne policijske up</w:t>
      </w:r>
      <w:r w:rsid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rave kod koje je vozilo upisano.</w:t>
      </w:r>
    </w:p>
    <w:p w:rsidR="00DE3B1E" w:rsidRDefault="00DE3B1E" w:rsidP="00FE11E1">
      <w:pPr>
        <w:widowControl/>
        <w:suppressAutoHyphens w:val="0"/>
        <w:autoSpaceDN/>
        <w:spacing w:after="0" w:line="288" w:lineRule="auto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</w:pPr>
    </w:p>
    <w:p w:rsidR="00972C2B" w:rsidRDefault="00972C2B" w:rsidP="00FE11E1">
      <w:pPr>
        <w:widowControl/>
        <w:suppressAutoHyphens w:val="0"/>
        <w:autoSpaceDN/>
        <w:spacing w:after="0" w:line="288" w:lineRule="auto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</w:pPr>
      <w:r w:rsidRPr="00972C2B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>III. RADNJE KOJE ĆE SE PODUZETI U NAREDNOM RAZDOBLJU</w:t>
      </w:r>
    </w:p>
    <w:p w:rsidR="002A41C7" w:rsidRDefault="002A41C7" w:rsidP="002A41C7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FE11E1" w:rsidRDefault="00FE11E1" w:rsidP="00FE11E1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6C1037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Slijedom navedenog stečajni upravitelj predlaže:</w:t>
      </w:r>
    </w:p>
    <w:p w:rsidR="00DE3B1E" w:rsidRDefault="00DE3B1E" w:rsidP="00DE3B1E">
      <w:pPr>
        <w:pStyle w:val="Odlomakpopisa"/>
        <w:widowControl/>
        <w:numPr>
          <w:ilvl w:val="0"/>
          <w:numId w:val="31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da sud </w:t>
      </w:r>
      <w:r w:rsidRP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donese zaključak kojim se ovlašćuje kupac Parketi </w:t>
      </w:r>
      <w:proofErr w:type="spellStart"/>
      <w:r w:rsidRP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Gosarić</w:t>
      </w:r>
      <w:proofErr w:type="spellEnd"/>
      <w:r w:rsidRP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d.o.o., Dravska 51, Prelog, OIB 75922118302 da zatraži od nadležne policijske uprave izdavanje knjižice vozila i prometne dozvole za kupljen motorno vozilo VW Transporter T4 2, 4D bijele boje, broj šasije WV2ZZZ70ZYHO62110, reg. oznake ČK 736 DR</w:t>
      </w:r>
    </w:p>
    <w:p w:rsidR="00DE3B1E" w:rsidRPr="00DE3B1E" w:rsidRDefault="00DE3B1E" w:rsidP="00DE3B1E">
      <w:pPr>
        <w:pStyle w:val="Odlomakpopisa"/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DE3B1E" w:rsidRDefault="00FE11E1" w:rsidP="00AA0CA7">
      <w:pPr>
        <w:pStyle w:val="Odlomakpopisa"/>
        <w:widowControl/>
        <w:numPr>
          <w:ilvl w:val="0"/>
          <w:numId w:val="31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6C1037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da </w:t>
      </w:r>
      <w:r w:rsid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sud sazove skupštinu vjerovnika sa slijedećim dnevnim redom:</w:t>
      </w:r>
    </w:p>
    <w:p w:rsidR="00E05D1D" w:rsidRDefault="00DE3B1E" w:rsidP="00DE3B1E">
      <w:pPr>
        <w:pStyle w:val="Odlomakpopisa"/>
        <w:widowControl/>
        <w:numPr>
          <w:ilvl w:val="1"/>
          <w:numId w:val="31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donošenje odluke o</w:t>
      </w:r>
      <w:r w:rsidR="00FB01E0"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načinu prodaje </w:t>
      </w:r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nekretnine</w:t>
      </w:r>
      <w:r w:rsidR="00FB01E0"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stečajnog dužnika 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upisane u </w:t>
      </w:r>
      <w:proofErr w:type="spellStart"/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zk</w:t>
      </w:r>
      <w:proofErr w:type="spellEnd"/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. ul. br. 8006/ poduložak </w:t>
      </w:r>
      <w:proofErr w:type="spellStart"/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br</w:t>
      </w:r>
      <w:proofErr w:type="spellEnd"/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6, k.o. Prelog, čestica broj 477/1 stambena zgrada, pomoćna zgrada i dvorište u Čakovečkoj ulici površine 1086 m2 u 47/1000 dijela povezano s vlasništvom cijelog posebnog dijela nekretnine i to garaža oznake G-2 u prizemlju pomoćne zgrade koja se sastoji od garaže i spremišta ukupne površine 25,20 m2</w:t>
      </w:r>
    </w:p>
    <w:p w:rsidR="00DE3B1E" w:rsidRPr="00FB01E0" w:rsidRDefault="00DE3B1E" w:rsidP="00DE3B1E">
      <w:pPr>
        <w:pStyle w:val="Odlomakpopisa"/>
        <w:widowControl/>
        <w:numPr>
          <w:ilvl w:val="1"/>
          <w:numId w:val="31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razno</w:t>
      </w:r>
    </w:p>
    <w:p w:rsidR="0043470C" w:rsidRDefault="0043470C" w:rsidP="0043470C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43470C" w:rsidRDefault="0043470C" w:rsidP="0043470C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DE3B1E" w:rsidRPr="0043470C" w:rsidRDefault="00DE3B1E" w:rsidP="0043470C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550A6A" w:rsidRDefault="00550A6A" w:rsidP="00550A6A">
      <w:pPr>
        <w:pStyle w:val="Standard"/>
        <w:spacing w:after="0" w:line="288" w:lineRule="auto"/>
        <w:ind w:left="5672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550A6A">
        <w:rPr>
          <w:rFonts w:ascii="Tahoma" w:hAnsi="Tahoma" w:cs="Tahoma"/>
          <w:sz w:val="20"/>
          <w:szCs w:val="20"/>
        </w:rPr>
        <w:t>tečajni upravitelj</w:t>
      </w:r>
    </w:p>
    <w:p w:rsidR="00D637A2" w:rsidRDefault="00D53F1B" w:rsidP="00550A6A">
      <w:pPr>
        <w:pStyle w:val="Standard"/>
        <w:spacing w:after="0" w:line="288" w:lineRule="auto"/>
        <w:ind w:left="5672" w:firstLine="709"/>
        <w:jc w:val="both"/>
        <w:rPr>
          <w:rFonts w:ascii="Tahoma" w:hAnsi="Tahoma" w:cs="Tahoma"/>
          <w:sz w:val="20"/>
          <w:szCs w:val="20"/>
        </w:rPr>
      </w:pPr>
      <w:r w:rsidRPr="00D928AA">
        <w:rPr>
          <w:rFonts w:ascii="Tahoma" w:hAnsi="Tahoma" w:cs="Tahoma"/>
          <w:sz w:val="20"/>
          <w:szCs w:val="20"/>
        </w:rPr>
        <w:t>Jelena Stankus-</w:t>
      </w:r>
      <w:proofErr w:type="spellStart"/>
      <w:r w:rsidRPr="00D928AA">
        <w:rPr>
          <w:rFonts w:ascii="Tahoma" w:hAnsi="Tahoma" w:cs="Tahoma"/>
          <w:sz w:val="20"/>
          <w:szCs w:val="20"/>
        </w:rPr>
        <w:t>Tkalec</w:t>
      </w:r>
      <w:proofErr w:type="spellEnd"/>
    </w:p>
    <w:sectPr w:rsidR="00D637A2" w:rsidSect="00D637A2">
      <w:headerReference w:type="default" r:id="rId9"/>
      <w:footerReference w:type="default" r:id="rId10"/>
      <w:pgSz w:w="11906" w:h="16838"/>
      <w:pgMar w:top="2442" w:right="1418" w:bottom="1418" w:left="1418" w:header="720" w:footer="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5F8" w:rsidRDefault="003D55F8">
      <w:pPr>
        <w:spacing w:after="0" w:line="240" w:lineRule="auto"/>
      </w:pPr>
      <w:r>
        <w:separator/>
      </w:r>
    </w:p>
  </w:endnote>
  <w:endnote w:type="continuationSeparator" w:id="0">
    <w:p w:rsidR="003D55F8" w:rsidRDefault="003D5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3"/>
    </w:tblGrid>
    <w:tr w:rsidR="00D637A2">
      <w:tc>
        <w:tcPr>
          <w:tcW w:w="918" w:type="dxa"/>
        </w:tcPr>
        <w:p w:rsidR="00D637A2" w:rsidRDefault="00D637A2">
          <w:pPr>
            <w:pStyle w:val="Podnoje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C50465" w:rsidRPr="00C50465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3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D637A2" w:rsidRDefault="00D637A2">
          <w:pPr>
            <w:pStyle w:val="Podnoje"/>
          </w:pPr>
        </w:p>
      </w:tc>
    </w:tr>
  </w:tbl>
  <w:p w:rsidR="00D637A2" w:rsidRDefault="00D637A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5F8" w:rsidRDefault="003D55F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D55F8" w:rsidRDefault="003D5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D3D" w:rsidRPr="00BD313F" w:rsidRDefault="00CD1D3D" w:rsidP="00CD1D3D">
    <w:pPr>
      <w:widowControl/>
      <w:pBdr>
        <w:bottom w:val="single" w:sz="12" w:space="1" w:color="auto"/>
      </w:pBdr>
      <w:tabs>
        <w:tab w:val="center" w:pos="4536"/>
        <w:tab w:val="right" w:pos="9072"/>
      </w:tabs>
      <w:suppressAutoHyphens w:val="0"/>
      <w:autoSpaceDN/>
      <w:spacing w:after="0"/>
      <w:jc w:val="center"/>
      <w:textAlignment w:val="auto"/>
      <w:rPr>
        <w:rFonts w:ascii="Calibri" w:eastAsia="Calibri" w:hAnsi="Calibri" w:cs="Calibri"/>
        <w:b/>
        <w:i/>
        <w:iCs/>
        <w:kern w:val="0"/>
        <w:lang w:eastAsia="en-US" w:bidi="ar-SA"/>
      </w:rPr>
    </w:pPr>
    <w:r>
      <w:rPr>
        <w:rFonts w:ascii="Calibri" w:eastAsia="Calibri" w:hAnsi="Calibri" w:cs="Calibri"/>
        <w:b/>
        <w:i/>
        <w:iCs/>
        <w:kern w:val="0"/>
        <w:lang w:eastAsia="en-US" w:bidi="ar-SA"/>
      </w:rPr>
      <w:t xml:space="preserve">ELEKTROINSTALATER IGREC </w:t>
    </w:r>
    <w:r w:rsidRPr="00BD313F">
      <w:rPr>
        <w:rFonts w:ascii="Calibri" w:eastAsia="Calibri" w:hAnsi="Calibri" w:cs="Calibri"/>
        <w:b/>
        <w:i/>
        <w:iCs/>
        <w:kern w:val="0"/>
        <w:lang w:eastAsia="en-US" w:bidi="ar-SA"/>
      </w:rPr>
      <w:t xml:space="preserve"> d.o.o. „u stečaju“</w:t>
    </w:r>
  </w:p>
  <w:p w:rsidR="00CD1D3D" w:rsidRPr="00BD313F" w:rsidRDefault="00CD1D3D" w:rsidP="00CD1D3D">
    <w:pPr>
      <w:widowControl/>
      <w:pBdr>
        <w:bottom w:val="single" w:sz="12" w:space="1" w:color="auto"/>
      </w:pBdr>
      <w:tabs>
        <w:tab w:val="center" w:pos="4536"/>
        <w:tab w:val="right" w:pos="9072"/>
      </w:tabs>
      <w:suppressAutoHyphens w:val="0"/>
      <w:autoSpaceDN/>
      <w:spacing w:after="0"/>
      <w:jc w:val="center"/>
      <w:textAlignment w:val="auto"/>
      <w:rPr>
        <w:rFonts w:ascii="Calibri" w:eastAsia="Calibri" w:hAnsi="Calibri" w:cs="Calibri"/>
        <w:b/>
        <w:i/>
        <w:iCs/>
        <w:kern w:val="0"/>
        <w:lang w:eastAsia="en-US" w:bidi="ar-SA"/>
      </w:rPr>
    </w:pPr>
    <w:r>
      <w:rPr>
        <w:rFonts w:ascii="Calibri" w:eastAsia="Calibri" w:hAnsi="Calibri" w:cs="Calibri"/>
        <w:b/>
        <w:i/>
        <w:iCs/>
        <w:kern w:val="0"/>
        <w:lang w:eastAsia="en-US" w:bidi="ar-SA"/>
      </w:rPr>
      <w:t>Prelog, Stjepana Mlinarića 17</w:t>
    </w:r>
    <w:r w:rsidRPr="00BD313F">
      <w:rPr>
        <w:rFonts w:ascii="Calibri" w:eastAsia="Calibri" w:hAnsi="Calibri" w:cs="Calibri"/>
        <w:b/>
        <w:i/>
        <w:iCs/>
        <w:kern w:val="0"/>
        <w:lang w:eastAsia="en-US" w:bidi="ar-SA"/>
      </w:rPr>
      <w:t xml:space="preserve">     </w:t>
    </w:r>
  </w:p>
  <w:p w:rsidR="00CD1D3D" w:rsidRPr="00BD313F" w:rsidRDefault="00CD1D3D" w:rsidP="00CD1D3D">
    <w:pPr>
      <w:widowControl/>
      <w:pBdr>
        <w:bottom w:val="single" w:sz="12" w:space="1" w:color="auto"/>
      </w:pBdr>
      <w:tabs>
        <w:tab w:val="center" w:pos="4536"/>
        <w:tab w:val="right" w:pos="9072"/>
      </w:tabs>
      <w:suppressAutoHyphens w:val="0"/>
      <w:autoSpaceDN/>
      <w:spacing w:after="0"/>
      <w:jc w:val="center"/>
      <w:textAlignment w:val="auto"/>
      <w:rPr>
        <w:rFonts w:ascii="Calibri" w:eastAsia="Calibri" w:hAnsi="Calibri" w:cs="Calibri"/>
        <w:b/>
        <w:i/>
        <w:iCs/>
        <w:kern w:val="0"/>
        <w:lang w:eastAsia="en-US" w:bidi="ar-SA"/>
      </w:rPr>
    </w:pPr>
    <w:r w:rsidRPr="00BD313F">
      <w:rPr>
        <w:rFonts w:ascii="Calibri" w:eastAsia="Calibri" w:hAnsi="Calibri" w:cs="Calibri"/>
        <w:b/>
        <w:i/>
        <w:iCs/>
        <w:kern w:val="0"/>
        <w:lang w:eastAsia="en-US" w:bidi="ar-SA"/>
      </w:rPr>
      <w:t>MBS: 0700</w:t>
    </w:r>
    <w:r>
      <w:rPr>
        <w:rFonts w:ascii="Calibri" w:eastAsia="Calibri" w:hAnsi="Calibri" w:cs="Calibri"/>
        <w:b/>
        <w:i/>
        <w:iCs/>
        <w:kern w:val="0"/>
        <w:lang w:eastAsia="en-US" w:bidi="ar-SA"/>
      </w:rPr>
      <w:t>66471</w:t>
    </w:r>
    <w:r w:rsidRPr="00BD313F">
      <w:rPr>
        <w:rFonts w:ascii="Calibri" w:eastAsia="Calibri" w:hAnsi="Calibri" w:cs="Calibri"/>
        <w:b/>
        <w:i/>
        <w:iCs/>
        <w:kern w:val="0"/>
        <w:lang w:eastAsia="en-US" w:bidi="ar-SA"/>
      </w:rPr>
      <w:t>, OIB:</w:t>
    </w:r>
    <w:r>
      <w:rPr>
        <w:rFonts w:ascii="Calibri" w:eastAsia="Calibri" w:hAnsi="Calibri" w:cs="Calibri"/>
        <w:b/>
        <w:i/>
        <w:iCs/>
        <w:kern w:val="0"/>
        <w:lang w:eastAsia="en-US" w:bidi="ar-SA"/>
      </w:rPr>
      <w:t>01967074902</w:t>
    </w:r>
  </w:p>
  <w:p w:rsidR="00CD1D3D" w:rsidRPr="00CD1D3D" w:rsidRDefault="00CD1D3D" w:rsidP="00CD1D3D">
    <w:pPr>
      <w:widowControl/>
      <w:pBdr>
        <w:bottom w:val="single" w:sz="12" w:space="1" w:color="auto"/>
      </w:pBdr>
      <w:tabs>
        <w:tab w:val="center" w:pos="4536"/>
        <w:tab w:val="right" w:pos="9072"/>
      </w:tabs>
      <w:suppressAutoHyphens w:val="0"/>
      <w:autoSpaceDN/>
      <w:spacing w:after="0"/>
      <w:jc w:val="center"/>
      <w:textAlignment w:val="auto"/>
      <w:rPr>
        <w:rFonts w:ascii="Calibri" w:eastAsia="Calibri" w:hAnsi="Calibri" w:cs="Calibri"/>
        <w:i/>
        <w:iCs/>
        <w:kern w:val="0"/>
        <w:sz w:val="22"/>
        <w:szCs w:val="22"/>
        <w:lang w:eastAsia="en-US" w:bidi="ar-SA"/>
      </w:rPr>
    </w:pPr>
    <w:r w:rsidRPr="00BD313F">
      <w:rPr>
        <w:rFonts w:ascii="Calibri" w:eastAsia="Calibri" w:hAnsi="Calibri" w:cs="Calibri"/>
        <w:i/>
        <w:iCs/>
        <w:kern w:val="0"/>
        <w:sz w:val="22"/>
        <w:szCs w:val="22"/>
        <w:lang w:eastAsia="en-US" w:bidi="ar-SA"/>
      </w:rPr>
      <w:t>Stečajni upravitelj: mr. Jelena Stankus-</w:t>
    </w:r>
    <w:proofErr w:type="spellStart"/>
    <w:r w:rsidRPr="00BD313F">
      <w:rPr>
        <w:rFonts w:ascii="Calibri" w:eastAsia="Calibri" w:hAnsi="Calibri" w:cs="Calibri"/>
        <w:i/>
        <w:iCs/>
        <w:kern w:val="0"/>
        <w:sz w:val="22"/>
        <w:szCs w:val="22"/>
        <w:lang w:eastAsia="en-US" w:bidi="ar-SA"/>
      </w:rPr>
      <w:t>Tkalec</w:t>
    </w:r>
    <w:proofErr w:type="spellEnd"/>
    <w:r w:rsidRPr="00BD313F">
      <w:rPr>
        <w:rFonts w:ascii="Calibri" w:eastAsia="Calibri" w:hAnsi="Calibri" w:cs="Calibri"/>
        <w:i/>
        <w:iCs/>
        <w:kern w:val="0"/>
        <w:sz w:val="22"/>
        <w:szCs w:val="22"/>
        <w:lang w:eastAsia="en-US" w:bidi="ar-SA"/>
      </w:rPr>
      <w:t>, dipl. iur.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2F6A"/>
    <w:multiLevelType w:val="multilevel"/>
    <w:tmpl w:val="67D6F208"/>
    <w:styleLink w:val="WWNum1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6A0631A"/>
    <w:multiLevelType w:val="hybridMultilevel"/>
    <w:tmpl w:val="6ADCEAD4"/>
    <w:lvl w:ilvl="0" w:tplc="4C2CBC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20F18"/>
    <w:multiLevelType w:val="hybridMultilevel"/>
    <w:tmpl w:val="A4748656"/>
    <w:lvl w:ilvl="0" w:tplc="938E549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9A6D42A">
      <w:numFmt w:val="bullet"/>
      <w:lvlText w:val="-"/>
      <w:lvlJc w:val="left"/>
      <w:pPr>
        <w:ind w:left="1070" w:hanging="360"/>
      </w:pPr>
      <w:rPr>
        <w:rFonts w:ascii="Tahoma" w:eastAsia="SimSu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20F11"/>
    <w:multiLevelType w:val="multilevel"/>
    <w:tmpl w:val="6F160AEC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0BE459D7"/>
    <w:multiLevelType w:val="multilevel"/>
    <w:tmpl w:val="AE28BC04"/>
    <w:styleLink w:val="WWNum1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12AF744F"/>
    <w:multiLevelType w:val="hybridMultilevel"/>
    <w:tmpl w:val="AB9877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90964"/>
    <w:multiLevelType w:val="hybridMultilevel"/>
    <w:tmpl w:val="E2B85A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815AF"/>
    <w:multiLevelType w:val="multilevel"/>
    <w:tmpl w:val="07A0FB0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190D4005"/>
    <w:multiLevelType w:val="multilevel"/>
    <w:tmpl w:val="7F4024AE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1B387A8F"/>
    <w:multiLevelType w:val="hybridMultilevel"/>
    <w:tmpl w:val="0DB2B1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23E2D"/>
    <w:multiLevelType w:val="multilevel"/>
    <w:tmpl w:val="F60EF922"/>
    <w:styleLink w:val="WWNum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1FEF5216"/>
    <w:multiLevelType w:val="multilevel"/>
    <w:tmpl w:val="97760FC8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20744AB9"/>
    <w:multiLevelType w:val="hybridMultilevel"/>
    <w:tmpl w:val="0204B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87038"/>
    <w:multiLevelType w:val="multilevel"/>
    <w:tmpl w:val="E090B100"/>
    <w:styleLink w:val="WWNum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2573547B"/>
    <w:multiLevelType w:val="multilevel"/>
    <w:tmpl w:val="540E26E4"/>
    <w:styleLink w:val="WWNum9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26B23FEA"/>
    <w:multiLevelType w:val="multilevel"/>
    <w:tmpl w:val="719CD81A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27AF1173"/>
    <w:multiLevelType w:val="hybridMultilevel"/>
    <w:tmpl w:val="4D6CA6A4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28573D26"/>
    <w:multiLevelType w:val="multilevel"/>
    <w:tmpl w:val="23D4CAE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2BD006E3"/>
    <w:multiLevelType w:val="hybridMultilevel"/>
    <w:tmpl w:val="DAA454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2F37D5"/>
    <w:multiLevelType w:val="multilevel"/>
    <w:tmpl w:val="5E925E04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361D2EE0"/>
    <w:multiLevelType w:val="hybridMultilevel"/>
    <w:tmpl w:val="2104FE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CD1F51"/>
    <w:multiLevelType w:val="multilevel"/>
    <w:tmpl w:val="2E0495C6"/>
    <w:styleLink w:val="WWNum8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441B777A"/>
    <w:multiLevelType w:val="hybridMultilevel"/>
    <w:tmpl w:val="8DF442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3B5D2C"/>
    <w:multiLevelType w:val="multilevel"/>
    <w:tmpl w:val="31B43946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494E6B21"/>
    <w:multiLevelType w:val="multilevel"/>
    <w:tmpl w:val="3B64EB70"/>
    <w:styleLink w:val="WWNum19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>
    <w:nsid w:val="58421DDF"/>
    <w:multiLevelType w:val="multilevel"/>
    <w:tmpl w:val="4B02EC74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58D23A50"/>
    <w:multiLevelType w:val="multilevel"/>
    <w:tmpl w:val="8E8C36C0"/>
    <w:styleLink w:val="WW8Num2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5C520184"/>
    <w:multiLevelType w:val="hybridMultilevel"/>
    <w:tmpl w:val="995E4DC6"/>
    <w:lvl w:ilvl="0" w:tplc="1E84F85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8">
    <w:nsid w:val="5C8062C9"/>
    <w:multiLevelType w:val="multilevel"/>
    <w:tmpl w:val="EFF07ACC"/>
    <w:styleLink w:val="WWNum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>
    <w:nsid w:val="5CF57C5D"/>
    <w:multiLevelType w:val="multilevel"/>
    <w:tmpl w:val="C33C8940"/>
    <w:styleLink w:val="WW8Num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63AF013F"/>
    <w:multiLevelType w:val="multilevel"/>
    <w:tmpl w:val="09323CD2"/>
    <w:styleLink w:val="WW8Num4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66FD46B7"/>
    <w:multiLevelType w:val="multilevel"/>
    <w:tmpl w:val="4FBEC2DC"/>
    <w:styleLink w:val="WWNum2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>
    <w:nsid w:val="674C1884"/>
    <w:multiLevelType w:val="multilevel"/>
    <w:tmpl w:val="817E22FA"/>
    <w:styleLink w:val="WWNum20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>
    <w:nsid w:val="6761457F"/>
    <w:multiLevelType w:val="hybridMultilevel"/>
    <w:tmpl w:val="F7B442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C855E3"/>
    <w:multiLevelType w:val="multilevel"/>
    <w:tmpl w:val="49F21B64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6B0B4316"/>
    <w:multiLevelType w:val="multilevel"/>
    <w:tmpl w:val="B8763AC0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BED3D69"/>
    <w:multiLevelType w:val="multilevel"/>
    <w:tmpl w:val="48B256E6"/>
    <w:styleLink w:val="WWNum4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>
    <w:nsid w:val="763E6D4B"/>
    <w:multiLevelType w:val="hybridMultilevel"/>
    <w:tmpl w:val="28C22042"/>
    <w:lvl w:ilvl="0" w:tplc="0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29"/>
  </w:num>
  <w:num w:numId="4">
    <w:abstractNumId w:val="30"/>
  </w:num>
  <w:num w:numId="5">
    <w:abstractNumId w:val="35"/>
  </w:num>
  <w:num w:numId="6">
    <w:abstractNumId w:val="10"/>
  </w:num>
  <w:num w:numId="7">
    <w:abstractNumId w:val="13"/>
  </w:num>
  <w:num w:numId="8">
    <w:abstractNumId w:val="28"/>
  </w:num>
  <w:num w:numId="9">
    <w:abstractNumId w:val="17"/>
  </w:num>
  <w:num w:numId="10">
    <w:abstractNumId w:val="31"/>
  </w:num>
  <w:num w:numId="11">
    <w:abstractNumId w:val="0"/>
  </w:num>
  <w:num w:numId="12">
    <w:abstractNumId w:val="36"/>
  </w:num>
  <w:num w:numId="13">
    <w:abstractNumId w:val="7"/>
  </w:num>
  <w:num w:numId="14">
    <w:abstractNumId w:val="21"/>
  </w:num>
  <w:num w:numId="15">
    <w:abstractNumId w:val="14"/>
  </w:num>
  <w:num w:numId="16">
    <w:abstractNumId w:val="11"/>
  </w:num>
  <w:num w:numId="17">
    <w:abstractNumId w:val="25"/>
  </w:num>
  <w:num w:numId="18">
    <w:abstractNumId w:val="34"/>
  </w:num>
  <w:num w:numId="19">
    <w:abstractNumId w:val="3"/>
  </w:num>
  <w:num w:numId="20">
    <w:abstractNumId w:val="15"/>
  </w:num>
  <w:num w:numId="21">
    <w:abstractNumId w:val="4"/>
  </w:num>
  <w:num w:numId="22">
    <w:abstractNumId w:val="19"/>
  </w:num>
  <w:num w:numId="23">
    <w:abstractNumId w:val="8"/>
  </w:num>
  <w:num w:numId="24">
    <w:abstractNumId w:val="24"/>
  </w:num>
  <w:num w:numId="25">
    <w:abstractNumId w:val="32"/>
  </w:num>
  <w:num w:numId="26">
    <w:abstractNumId w:val="37"/>
  </w:num>
  <w:num w:numId="27">
    <w:abstractNumId w:val="20"/>
  </w:num>
  <w:num w:numId="28">
    <w:abstractNumId w:val="5"/>
  </w:num>
  <w:num w:numId="29">
    <w:abstractNumId w:val="9"/>
  </w:num>
  <w:num w:numId="30">
    <w:abstractNumId w:val="22"/>
  </w:num>
  <w:num w:numId="31">
    <w:abstractNumId w:val="33"/>
  </w:num>
  <w:num w:numId="32">
    <w:abstractNumId w:val="12"/>
  </w:num>
  <w:num w:numId="33">
    <w:abstractNumId w:val="6"/>
  </w:num>
  <w:num w:numId="34">
    <w:abstractNumId w:val="27"/>
  </w:num>
  <w:num w:numId="35">
    <w:abstractNumId w:val="18"/>
  </w:num>
  <w:num w:numId="36">
    <w:abstractNumId w:val="2"/>
  </w:num>
  <w:num w:numId="37">
    <w:abstractNumId w:val="16"/>
  </w:num>
  <w:num w:numId="38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0624E"/>
    <w:rsid w:val="00006939"/>
    <w:rsid w:val="0002635C"/>
    <w:rsid w:val="000368F8"/>
    <w:rsid w:val="00036B89"/>
    <w:rsid w:val="00085975"/>
    <w:rsid w:val="00094194"/>
    <w:rsid w:val="000D46E5"/>
    <w:rsid w:val="000D687C"/>
    <w:rsid w:val="00113405"/>
    <w:rsid w:val="00114D91"/>
    <w:rsid w:val="0012052D"/>
    <w:rsid w:val="001574D4"/>
    <w:rsid w:val="00172B15"/>
    <w:rsid w:val="00176590"/>
    <w:rsid w:val="00193136"/>
    <w:rsid w:val="001A4CD2"/>
    <w:rsid w:val="001D50ED"/>
    <w:rsid w:val="001E1220"/>
    <w:rsid w:val="001E7150"/>
    <w:rsid w:val="002049B0"/>
    <w:rsid w:val="00256EBA"/>
    <w:rsid w:val="0026675D"/>
    <w:rsid w:val="002765AD"/>
    <w:rsid w:val="00276FBF"/>
    <w:rsid w:val="002925F1"/>
    <w:rsid w:val="002A41C7"/>
    <w:rsid w:val="002D086C"/>
    <w:rsid w:val="002D4151"/>
    <w:rsid w:val="002F255E"/>
    <w:rsid w:val="0030624E"/>
    <w:rsid w:val="00307FD9"/>
    <w:rsid w:val="00331EF4"/>
    <w:rsid w:val="00333870"/>
    <w:rsid w:val="003359E8"/>
    <w:rsid w:val="00341305"/>
    <w:rsid w:val="00342DF0"/>
    <w:rsid w:val="0034606E"/>
    <w:rsid w:val="003473D7"/>
    <w:rsid w:val="00352B09"/>
    <w:rsid w:val="00360A2A"/>
    <w:rsid w:val="003672E7"/>
    <w:rsid w:val="0037139B"/>
    <w:rsid w:val="00377CFD"/>
    <w:rsid w:val="003B4414"/>
    <w:rsid w:val="003D55F8"/>
    <w:rsid w:val="003E4F74"/>
    <w:rsid w:val="003F7529"/>
    <w:rsid w:val="00415BE6"/>
    <w:rsid w:val="00431171"/>
    <w:rsid w:val="0043470C"/>
    <w:rsid w:val="00447ACC"/>
    <w:rsid w:val="004750FE"/>
    <w:rsid w:val="004A237D"/>
    <w:rsid w:val="004B2536"/>
    <w:rsid w:val="004D4F87"/>
    <w:rsid w:val="004D54A4"/>
    <w:rsid w:val="00507D64"/>
    <w:rsid w:val="00544739"/>
    <w:rsid w:val="00547C59"/>
    <w:rsid w:val="00550A6A"/>
    <w:rsid w:val="005728BE"/>
    <w:rsid w:val="00585727"/>
    <w:rsid w:val="005A0510"/>
    <w:rsid w:val="005C158F"/>
    <w:rsid w:val="005C43B4"/>
    <w:rsid w:val="005C55C5"/>
    <w:rsid w:val="005D41DE"/>
    <w:rsid w:val="005F6217"/>
    <w:rsid w:val="0061662C"/>
    <w:rsid w:val="00620543"/>
    <w:rsid w:val="0063257B"/>
    <w:rsid w:val="006561D4"/>
    <w:rsid w:val="00666A61"/>
    <w:rsid w:val="006914E7"/>
    <w:rsid w:val="006B1F03"/>
    <w:rsid w:val="006B2A81"/>
    <w:rsid w:val="006B4962"/>
    <w:rsid w:val="006C1037"/>
    <w:rsid w:val="006C6D48"/>
    <w:rsid w:val="006D339C"/>
    <w:rsid w:val="00727613"/>
    <w:rsid w:val="00772A50"/>
    <w:rsid w:val="00774982"/>
    <w:rsid w:val="00785693"/>
    <w:rsid w:val="007A1E27"/>
    <w:rsid w:val="007B3854"/>
    <w:rsid w:val="007C2D33"/>
    <w:rsid w:val="007E0D48"/>
    <w:rsid w:val="007E42A8"/>
    <w:rsid w:val="007F5676"/>
    <w:rsid w:val="007F6A70"/>
    <w:rsid w:val="0080795F"/>
    <w:rsid w:val="00833179"/>
    <w:rsid w:val="008429C9"/>
    <w:rsid w:val="00845156"/>
    <w:rsid w:val="00860ACD"/>
    <w:rsid w:val="008A18F7"/>
    <w:rsid w:val="008A4BBD"/>
    <w:rsid w:val="008B6444"/>
    <w:rsid w:val="008C7468"/>
    <w:rsid w:val="008E3767"/>
    <w:rsid w:val="008E51DD"/>
    <w:rsid w:val="008E75EB"/>
    <w:rsid w:val="009102D2"/>
    <w:rsid w:val="00910583"/>
    <w:rsid w:val="009137A8"/>
    <w:rsid w:val="009178B7"/>
    <w:rsid w:val="009439AB"/>
    <w:rsid w:val="00943F47"/>
    <w:rsid w:val="00944D3D"/>
    <w:rsid w:val="00956AF0"/>
    <w:rsid w:val="00956E38"/>
    <w:rsid w:val="00961204"/>
    <w:rsid w:val="00961D68"/>
    <w:rsid w:val="00972C2B"/>
    <w:rsid w:val="009863E9"/>
    <w:rsid w:val="00986E2D"/>
    <w:rsid w:val="00991780"/>
    <w:rsid w:val="009B2DC7"/>
    <w:rsid w:val="009C4440"/>
    <w:rsid w:val="009C5CDE"/>
    <w:rsid w:val="009D4544"/>
    <w:rsid w:val="009E72BA"/>
    <w:rsid w:val="00A305D2"/>
    <w:rsid w:val="00A73079"/>
    <w:rsid w:val="00A763BA"/>
    <w:rsid w:val="00A939E2"/>
    <w:rsid w:val="00AA0CA7"/>
    <w:rsid w:val="00AA3F61"/>
    <w:rsid w:val="00AB1331"/>
    <w:rsid w:val="00AB2F1F"/>
    <w:rsid w:val="00AB3867"/>
    <w:rsid w:val="00AC4430"/>
    <w:rsid w:val="00AC7FEB"/>
    <w:rsid w:val="00AE2FAC"/>
    <w:rsid w:val="00AE3B73"/>
    <w:rsid w:val="00AE5016"/>
    <w:rsid w:val="00AF12FC"/>
    <w:rsid w:val="00B111E9"/>
    <w:rsid w:val="00B14120"/>
    <w:rsid w:val="00B178F9"/>
    <w:rsid w:val="00B22FC4"/>
    <w:rsid w:val="00B32F5A"/>
    <w:rsid w:val="00B34292"/>
    <w:rsid w:val="00B434C5"/>
    <w:rsid w:val="00B4765C"/>
    <w:rsid w:val="00B665F7"/>
    <w:rsid w:val="00B77B17"/>
    <w:rsid w:val="00B801BD"/>
    <w:rsid w:val="00B930F8"/>
    <w:rsid w:val="00BB6979"/>
    <w:rsid w:val="00BC0919"/>
    <w:rsid w:val="00BC093B"/>
    <w:rsid w:val="00BC26E1"/>
    <w:rsid w:val="00BD313F"/>
    <w:rsid w:val="00BE0D51"/>
    <w:rsid w:val="00C02166"/>
    <w:rsid w:val="00C31902"/>
    <w:rsid w:val="00C33DD6"/>
    <w:rsid w:val="00C42233"/>
    <w:rsid w:val="00C43EFD"/>
    <w:rsid w:val="00C50465"/>
    <w:rsid w:val="00C910DB"/>
    <w:rsid w:val="00CB1EAE"/>
    <w:rsid w:val="00CD0D6F"/>
    <w:rsid w:val="00CD1D3D"/>
    <w:rsid w:val="00CE095A"/>
    <w:rsid w:val="00CE6CE9"/>
    <w:rsid w:val="00CF4B45"/>
    <w:rsid w:val="00D01517"/>
    <w:rsid w:val="00D038D8"/>
    <w:rsid w:val="00D13854"/>
    <w:rsid w:val="00D400AD"/>
    <w:rsid w:val="00D4252B"/>
    <w:rsid w:val="00D53F1B"/>
    <w:rsid w:val="00D610F0"/>
    <w:rsid w:val="00D637A2"/>
    <w:rsid w:val="00D65CFA"/>
    <w:rsid w:val="00D722A6"/>
    <w:rsid w:val="00D74136"/>
    <w:rsid w:val="00D928AA"/>
    <w:rsid w:val="00DA5AD8"/>
    <w:rsid w:val="00DB2EB1"/>
    <w:rsid w:val="00DC47F8"/>
    <w:rsid w:val="00DD44B9"/>
    <w:rsid w:val="00DE28BB"/>
    <w:rsid w:val="00DE3B1E"/>
    <w:rsid w:val="00E05D1D"/>
    <w:rsid w:val="00E10588"/>
    <w:rsid w:val="00E119A9"/>
    <w:rsid w:val="00E23591"/>
    <w:rsid w:val="00E40BAD"/>
    <w:rsid w:val="00E61E9A"/>
    <w:rsid w:val="00E66870"/>
    <w:rsid w:val="00E74A2B"/>
    <w:rsid w:val="00E8144C"/>
    <w:rsid w:val="00EA3B14"/>
    <w:rsid w:val="00EC0B22"/>
    <w:rsid w:val="00EC6AEA"/>
    <w:rsid w:val="00ED163D"/>
    <w:rsid w:val="00ED5789"/>
    <w:rsid w:val="00ED6274"/>
    <w:rsid w:val="00EE5501"/>
    <w:rsid w:val="00EE6615"/>
    <w:rsid w:val="00F4481E"/>
    <w:rsid w:val="00F46696"/>
    <w:rsid w:val="00F6551C"/>
    <w:rsid w:val="00F978AE"/>
    <w:rsid w:val="00FB01E0"/>
    <w:rsid w:val="00FC3E0A"/>
    <w:rsid w:val="00FD593B"/>
    <w:rsid w:val="00FE11E1"/>
    <w:rsid w:val="00FE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styleId="Odlomakpopisa">
    <w:name w:val="List Paragraph"/>
    <w:basedOn w:val="Standard"/>
    <w:pPr>
      <w:ind w:left="720"/>
    </w:p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WW8Num8z0">
    <w:name w:val="WW8Num8z0"/>
    <w:rPr>
      <w:b/>
    </w:rPr>
  </w:style>
  <w:style w:type="character" w:customStyle="1" w:styleId="WW8Num7z0">
    <w:name w:val="WW8Num7z0"/>
    <w:rPr>
      <w:b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cs="Calibri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3">
    <w:name w:val="ListLabel 3"/>
    <w:rPr>
      <w:rFonts w:eastAsia="Times New Roman"/>
    </w:rPr>
  </w:style>
  <w:style w:type="paragraph" w:styleId="Tekstbalonia">
    <w:name w:val="Balloon Text"/>
    <w:basedOn w:val="Normal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uiPriority w:val="99"/>
    <w:rPr>
      <w:szCs w:val="21"/>
    </w:rPr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numbering" w:customStyle="1" w:styleId="WW8Num5">
    <w:name w:val="WW8Num5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3">
    <w:name w:val="WWNum3"/>
    <w:basedOn w:val="Bezpopisa"/>
    <w:pPr>
      <w:numPr>
        <w:numId w:val="8"/>
      </w:numPr>
    </w:pPr>
  </w:style>
  <w:style w:type="numbering" w:customStyle="1" w:styleId="WWNum10">
    <w:name w:val="WWNum10"/>
    <w:basedOn w:val="Bezpopisa"/>
    <w:pPr>
      <w:numPr>
        <w:numId w:val="9"/>
      </w:numPr>
    </w:pPr>
  </w:style>
  <w:style w:type="numbering" w:customStyle="1" w:styleId="WWNum2">
    <w:name w:val="WWNum2"/>
    <w:basedOn w:val="Bezpopisa"/>
    <w:pPr>
      <w:numPr>
        <w:numId w:val="10"/>
      </w:numPr>
    </w:pPr>
  </w:style>
  <w:style w:type="numbering" w:customStyle="1" w:styleId="WWNum1">
    <w:name w:val="WWNum1"/>
    <w:basedOn w:val="Bezpopisa"/>
    <w:pPr>
      <w:numPr>
        <w:numId w:val="11"/>
      </w:numPr>
    </w:pPr>
  </w:style>
  <w:style w:type="numbering" w:customStyle="1" w:styleId="WWNum4">
    <w:name w:val="WWNum4"/>
    <w:basedOn w:val="Bezpopisa"/>
    <w:pPr>
      <w:numPr>
        <w:numId w:val="12"/>
      </w:numPr>
    </w:pPr>
  </w:style>
  <w:style w:type="numbering" w:customStyle="1" w:styleId="WWNum6">
    <w:name w:val="WWNum6"/>
    <w:basedOn w:val="Bezpopisa"/>
    <w:pPr>
      <w:numPr>
        <w:numId w:val="13"/>
      </w:numPr>
    </w:pPr>
  </w:style>
  <w:style w:type="numbering" w:customStyle="1" w:styleId="WWNum8">
    <w:name w:val="WWNum8"/>
    <w:basedOn w:val="Bezpopisa"/>
    <w:pPr>
      <w:numPr>
        <w:numId w:val="14"/>
      </w:numPr>
    </w:pPr>
  </w:style>
  <w:style w:type="numbering" w:customStyle="1" w:styleId="WWNum9">
    <w:name w:val="WWNum9"/>
    <w:basedOn w:val="Bezpopisa"/>
    <w:pPr>
      <w:numPr>
        <w:numId w:val="15"/>
      </w:numPr>
    </w:pPr>
  </w:style>
  <w:style w:type="numbering" w:customStyle="1" w:styleId="WWNum11">
    <w:name w:val="WWNum11"/>
    <w:basedOn w:val="Bezpopisa"/>
    <w:pPr>
      <w:numPr>
        <w:numId w:val="16"/>
      </w:numPr>
    </w:pPr>
  </w:style>
  <w:style w:type="numbering" w:customStyle="1" w:styleId="WWNum12">
    <w:name w:val="WWNum12"/>
    <w:basedOn w:val="Bezpopisa"/>
    <w:pPr>
      <w:numPr>
        <w:numId w:val="17"/>
      </w:numPr>
    </w:pPr>
  </w:style>
  <w:style w:type="numbering" w:customStyle="1" w:styleId="WWNum13">
    <w:name w:val="WWNum13"/>
    <w:basedOn w:val="Bezpopisa"/>
    <w:pPr>
      <w:numPr>
        <w:numId w:val="18"/>
      </w:numPr>
    </w:pPr>
  </w:style>
  <w:style w:type="numbering" w:customStyle="1" w:styleId="WWNum14">
    <w:name w:val="WWNum14"/>
    <w:basedOn w:val="Bezpopisa"/>
    <w:pPr>
      <w:numPr>
        <w:numId w:val="19"/>
      </w:numPr>
    </w:pPr>
  </w:style>
  <w:style w:type="numbering" w:customStyle="1" w:styleId="WWNum15">
    <w:name w:val="WWNum15"/>
    <w:basedOn w:val="Bezpopisa"/>
    <w:pPr>
      <w:numPr>
        <w:numId w:val="20"/>
      </w:numPr>
    </w:pPr>
  </w:style>
  <w:style w:type="numbering" w:customStyle="1" w:styleId="WWNum16">
    <w:name w:val="WWNum16"/>
    <w:basedOn w:val="Bezpopisa"/>
    <w:pPr>
      <w:numPr>
        <w:numId w:val="21"/>
      </w:numPr>
    </w:pPr>
  </w:style>
  <w:style w:type="numbering" w:customStyle="1" w:styleId="WWNum17">
    <w:name w:val="WWNum17"/>
    <w:basedOn w:val="Bezpopisa"/>
    <w:pPr>
      <w:numPr>
        <w:numId w:val="22"/>
      </w:numPr>
    </w:pPr>
  </w:style>
  <w:style w:type="numbering" w:customStyle="1" w:styleId="WWNum18">
    <w:name w:val="WWNum18"/>
    <w:basedOn w:val="Bezpopisa"/>
    <w:pPr>
      <w:numPr>
        <w:numId w:val="23"/>
      </w:numPr>
    </w:pPr>
  </w:style>
  <w:style w:type="numbering" w:customStyle="1" w:styleId="WWNum19">
    <w:name w:val="WWNum19"/>
    <w:basedOn w:val="Bezpopisa"/>
    <w:pPr>
      <w:numPr>
        <w:numId w:val="24"/>
      </w:numPr>
    </w:pPr>
  </w:style>
  <w:style w:type="numbering" w:customStyle="1" w:styleId="WWNum20">
    <w:name w:val="WWNum20"/>
    <w:basedOn w:val="Bezpopisa"/>
    <w:pPr>
      <w:numPr>
        <w:numId w:val="25"/>
      </w:numPr>
    </w:pPr>
  </w:style>
  <w:style w:type="table" w:styleId="Elegantnatablica">
    <w:name w:val="Table Elegant"/>
    <w:basedOn w:val="Obinatablica"/>
    <w:uiPriority w:val="99"/>
    <w:semiHidden/>
    <w:unhideWhenUsed/>
    <w:rsid w:val="00833179"/>
    <w:pPr>
      <w:suppressAutoHyphens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rezerviranogmjesta">
    <w:name w:val="Placeholder Text"/>
    <w:basedOn w:val="Zadanifontodlomka"/>
    <w:uiPriority w:val="99"/>
    <w:semiHidden/>
    <w:rsid w:val="002F255E"/>
    <w:rPr>
      <w:color w:val="808080"/>
    </w:rPr>
  </w:style>
  <w:style w:type="table" w:styleId="Reetkatablice">
    <w:name w:val="Table Grid"/>
    <w:basedOn w:val="Obinatablica"/>
    <w:uiPriority w:val="59"/>
    <w:rsid w:val="001E1220"/>
    <w:pPr>
      <w:widowControl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B178F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styleId="Odlomakpopisa">
    <w:name w:val="List Paragraph"/>
    <w:basedOn w:val="Standard"/>
    <w:pPr>
      <w:ind w:left="720"/>
    </w:p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WW8Num8z0">
    <w:name w:val="WW8Num8z0"/>
    <w:rPr>
      <w:b/>
    </w:rPr>
  </w:style>
  <w:style w:type="character" w:customStyle="1" w:styleId="WW8Num7z0">
    <w:name w:val="WW8Num7z0"/>
    <w:rPr>
      <w:b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cs="Calibri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3">
    <w:name w:val="ListLabel 3"/>
    <w:rPr>
      <w:rFonts w:eastAsia="Times New Roman"/>
    </w:rPr>
  </w:style>
  <w:style w:type="paragraph" w:styleId="Tekstbalonia">
    <w:name w:val="Balloon Text"/>
    <w:basedOn w:val="Normal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uiPriority w:val="99"/>
    <w:rPr>
      <w:szCs w:val="21"/>
    </w:rPr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numbering" w:customStyle="1" w:styleId="WW8Num5">
    <w:name w:val="WW8Num5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3">
    <w:name w:val="WWNum3"/>
    <w:basedOn w:val="Bezpopisa"/>
    <w:pPr>
      <w:numPr>
        <w:numId w:val="8"/>
      </w:numPr>
    </w:pPr>
  </w:style>
  <w:style w:type="numbering" w:customStyle="1" w:styleId="WWNum10">
    <w:name w:val="WWNum10"/>
    <w:basedOn w:val="Bezpopisa"/>
    <w:pPr>
      <w:numPr>
        <w:numId w:val="9"/>
      </w:numPr>
    </w:pPr>
  </w:style>
  <w:style w:type="numbering" w:customStyle="1" w:styleId="WWNum2">
    <w:name w:val="WWNum2"/>
    <w:basedOn w:val="Bezpopisa"/>
    <w:pPr>
      <w:numPr>
        <w:numId w:val="10"/>
      </w:numPr>
    </w:pPr>
  </w:style>
  <w:style w:type="numbering" w:customStyle="1" w:styleId="WWNum1">
    <w:name w:val="WWNum1"/>
    <w:basedOn w:val="Bezpopisa"/>
    <w:pPr>
      <w:numPr>
        <w:numId w:val="11"/>
      </w:numPr>
    </w:pPr>
  </w:style>
  <w:style w:type="numbering" w:customStyle="1" w:styleId="WWNum4">
    <w:name w:val="WWNum4"/>
    <w:basedOn w:val="Bezpopisa"/>
    <w:pPr>
      <w:numPr>
        <w:numId w:val="12"/>
      </w:numPr>
    </w:pPr>
  </w:style>
  <w:style w:type="numbering" w:customStyle="1" w:styleId="WWNum6">
    <w:name w:val="WWNum6"/>
    <w:basedOn w:val="Bezpopisa"/>
    <w:pPr>
      <w:numPr>
        <w:numId w:val="13"/>
      </w:numPr>
    </w:pPr>
  </w:style>
  <w:style w:type="numbering" w:customStyle="1" w:styleId="WWNum8">
    <w:name w:val="WWNum8"/>
    <w:basedOn w:val="Bezpopisa"/>
    <w:pPr>
      <w:numPr>
        <w:numId w:val="14"/>
      </w:numPr>
    </w:pPr>
  </w:style>
  <w:style w:type="numbering" w:customStyle="1" w:styleId="WWNum9">
    <w:name w:val="WWNum9"/>
    <w:basedOn w:val="Bezpopisa"/>
    <w:pPr>
      <w:numPr>
        <w:numId w:val="15"/>
      </w:numPr>
    </w:pPr>
  </w:style>
  <w:style w:type="numbering" w:customStyle="1" w:styleId="WWNum11">
    <w:name w:val="WWNum11"/>
    <w:basedOn w:val="Bezpopisa"/>
    <w:pPr>
      <w:numPr>
        <w:numId w:val="16"/>
      </w:numPr>
    </w:pPr>
  </w:style>
  <w:style w:type="numbering" w:customStyle="1" w:styleId="WWNum12">
    <w:name w:val="WWNum12"/>
    <w:basedOn w:val="Bezpopisa"/>
    <w:pPr>
      <w:numPr>
        <w:numId w:val="17"/>
      </w:numPr>
    </w:pPr>
  </w:style>
  <w:style w:type="numbering" w:customStyle="1" w:styleId="WWNum13">
    <w:name w:val="WWNum13"/>
    <w:basedOn w:val="Bezpopisa"/>
    <w:pPr>
      <w:numPr>
        <w:numId w:val="18"/>
      </w:numPr>
    </w:pPr>
  </w:style>
  <w:style w:type="numbering" w:customStyle="1" w:styleId="WWNum14">
    <w:name w:val="WWNum14"/>
    <w:basedOn w:val="Bezpopisa"/>
    <w:pPr>
      <w:numPr>
        <w:numId w:val="19"/>
      </w:numPr>
    </w:pPr>
  </w:style>
  <w:style w:type="numbering" w:customStyle="1" w:styleId="WWNum15">
    <w:name w:val="WWNum15"/>
    <w:basedOn w:val="Bezpopisa"/>
    <w:pPr>
      <w:numPr>
        <w:numId w:val="20"/>
      </w:numPr>
    </w:pPr>
  </w:style>
  <w:style w:type="numbering" w:customStyle="1" w:styleId="WWNum16">
    <w:name w:val="WWNum16"/>
    <w:basedOn w:val="Bezpopisa"/>
    <w:pPr>
      <w:numPr>
        <w:numId w:val="21"/>
      </w:numPr>
    </w:pPr>
  </w:style>
  <w:style w:type="numbering" w:customStyle="1" w:styleId="WWNum17">
    <w:name w:val="WWNum17"/>
    <w:basedOn w:val="Bezpopisa"/>
    <w:pPr>
      <w:numPr>
        <w:numId w:val="22"/>
      </w:numPr>
    </w:pPr>
  </w:style>
  <w:style w:type="numbering" w:customStyle="1" w:styleId="WWNum18">
    <w:name w:val="WWNum18"/>
    <w:basedOn w:val="Bezpopisa"/>
    <w:pPr>
      <w:numPr>
        <w:numId w:val="23"/>
      </w:numPr>
    </w:pPr>
  </w:style>
  <w:style w:type="numbering" w:customStyle="1" w:styleId="WWNum19">
    <w:name w:val="WWNum19"/>
    <w:basedOn w:val="Bezpopisa"/>
    <w:pPr>
      <w:numPr>
        <w:numId w:val="24"/>
      </w:numPr>
    </w:pPr>
  </w:style>
  <w:style w:type="numbering" w:customStyle="1" w:styleId="WWNum20">
    <w:name w:val="WWNum20"/>
    <w:basedOn w:val="Bezpopisa"/>
    <w:pPr>
      <w:numPr>
        <w:numId w:val="25"/>
      </w:numPr>
    </w:pPr>
  </w:style>
  <w:style w:type="table" w:styleId="Elegantnatablica">
    <w:name w:val="Table Elegant"/>
    <w:basedOn w:val="Obinatablica"/>
    <w:uiPriority w:val="99"/>
    <w:semiHidden/>
    <w:unhideWhenUsed/>
    <w:rsid w:val="00833179"/>
    <w:pPr>
      <w:suppressAutoHyphens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rezerviranogmjesta">
    <w:name w:val="Placeholder Text"/>
    <w:basedOn w:val="Zadanifontodlomka"/>
    <w:uiPriority w:val="99"/>
    <w:semiHidden/>
    <w:rsid w:val="002F255E"/>
    <w:rPr>
      <w:color w:val="808080"/>
    </w:rPr>
  </w:style>
  <w:style w:type="table" w:styleId="Reetkatablice">
    <w:name w:val="Table Grid"/>
    <w:basedOn w:val="Obinatablica"/>
    <w:uiPriority w:val="59"/>
    <w:rsid w:val="001E1220"/>
    <w:pPr>
      <w:widowControl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B178F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7A94-204C-4A25-8410-A26ABC38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 Stankus</cp:lastModifiedBy>
  <cp:revision>6</cp:revision>
  <cp:lastPrinted>2016-09-06T08:40:00Z</cp:lastPrinted>
  <dcterms:created xsi:type="dcterms:W3CDTF">2016-09-06T08:10:00Z</dcterms:created>
  <dcterms:modified xsi:type="dcterms:W3CDTF">2016-09-06T08:42:00Z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